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76638D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8D5039">
        <w:rPr>
          <w:rFonts w:ascii="Times New Roman" w:hAnsi="Times New Roman"/>
          <w:b/>
          <w:sz w:val="28"/>
          <w:szCs w:val="28"/>
        </w:rPr>
        <w:t>жидкостных хроматографов с диодно-матричным детектором</w:t>
      </w:r>
      <w:r w:rsidR="0076638D" w:rsidRPr="00FC0AC3">
        <w:rPr>
          <w:rFonts w:ascii="Times New Roman" w:hAnsi="Times New Roman"/>
          <w:sz w:val="26"/>
          <w:szCs w:val="26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715"/>
        <w:gridCol w:w="466"/>
        <w:gridCol w:w="142"/>
        <w:gridCol w:w="17"/>
        <w:gridCol w:w="6237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3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3"/>
          </w:tcPr>
          <w:p w:rsidR="00E9059B" w:rsidRPr="00A60046" w:rsidRDefault="005460DA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3"/>
            <w:vAlign w:val="center"/>
          </w:tcPr>
          <w:p w:rsidR="004960F0" w:rsidRPr="00A60046" w:rsidRDefault="005460DA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3B55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3B5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60046"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8D5039" w:rsidRPr="00A6004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2"/>
          </w:tcPr>
          <w:p w:rsidR="008D5039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Товар: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жидкостной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хроматограф с диодно-матричным детектором</w:t>
            </w:r>
          </w:p>
          <w:p w:rsidR="004960F0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Работы (услуги): пуско-наладочные работы, государственная поверка  и обучение персонала (не менее 2-х человек) по месту установки оборудования, заполнение протоколов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2"/>
          </w:tcPr>
          <w:p w:rsidR="004960F0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8D5039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1 комплект входит:</w:t>
            </w:r>
          </w:p>
          <w:p w:rsidR="008D5039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жидкостной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хроматограф с диодно-матричным детектором </w:t>
            </w:r>
          </w:p>
          <w:p w:rsidR="008D5039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программное обеспечение</w:t>
            </w:r>
          </w:p>
          <w:p w:rsidR="008D5039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дополнительная комплектация к хроматографу</w:t>
            </w:r>
          </w:p>
        </w:tc>
      </w:tr>
      <w:tr w:rsidR="004960F0" w:rsidRPr="00A60046" w:rsidTr="00A41982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7" w:type="dxa"/>
            <w:gridSpan w:val="5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Жидкостной</w:t>
            </w:r>
            <w:proofErr w:type="gramEnd"/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хроматограф с диодно-матричным детектором</w:t>
            </w:r>
            <w:r w:rsidRPr="00A600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должен обладать следующими характеристиками: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1.1. Четырехканальный градиентный насос на стороне низкого давления с характеристиками:</w:t>
            </w:r>
          </w:p>
          <w:p w:rsidR="00D803A4" w:rsidRPr="00A60046" w:rsidRDefault="00D803A4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1.1.1. диапазон давлений 0-600 бар при скоростях потока до 5 мл/мин;</w:t>
            </w:r>
          </w:p>
          <w:p w:rsidR="00D803A4" w:rsidRPr="00A60046" w:rsidRDefault="00D803A4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1.1.2. пульсации давления не более 2,0 % при 1 мл/мин;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1.1.3. диапазон скоростей потока 0,1 до 10 мл/мин с шагом 0,1 мл/мин;</w:t>
            </w:r>
          </w:p>
          <w:p w:rsidR="00D803A4" w:rsidRPr="00A60046" w:rsidRDefault="00D803A4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1.1.4. относительная погрешность скорости не более 0,07%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RSD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1.1.5. формирование градиента 1-99% с погрешностью не более 0,2%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RSD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1.1.6. дегазатор элюентов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с максимальной скоростью до 5 мл/мин на канал;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1.1.7. датчик утечки растворителей;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1.1.8. устройство для непрерывной промывки плунжеров, включающее перистальтический насос и необходимые трубки;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1.1.9. автоматическая поправка на сжимаемость растворителей;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1.1.10. программируемое автоматическое включение/выключение насоса в режиме реального времени;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1.1.11. превентивная диагностика с сохранением данных в электронном формате;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1.1.12. подставка для элюентов, включающая 4 бутыли из темного стекла по 1 л с крышками и трубками;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1.1.13. набор капилляров 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фиттингов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1.2. </w:t>
            </w:r>
            <w:proofErr w:type="spellStart"/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Термостатируемый</w:t>
            </w:r>
            <w:proofErr w:type="spellEnd"/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автосамплер</w:t>
            </w:r>
            <w:proofErr w:type="spellEnd"/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должен обеспечивать: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1.2.1. принцип работы – дозирование с помощью дозирующего устройства;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1.2.2. автоматическое дозирование проб в диапазоне 0,1-100 мкл с шагом 0,1 мкл без замены петли;</w:t>
            </w:r>
          </w:p>
          <w:p w:rsidR="00D803A4" w:rsidRPr="00A60046" w:rsidRDefault="00D803A4" w:rsidP="00A60046">
            <w:pPr>
              <w:spacing w:after="0" w:line="240" w:lineRule="exact"/>
              <w:ind w:firstLine="18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погрешность дозирования по площади пика не более 0,25%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RSD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в диапазоне 5-100 мкл;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1.2.3. уровень перекрестного загрязнения не более 0,05%;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1.2.4. ввод проб при давлении в системе до 600 бар;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1.2.5. вместимость не менее 100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виал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на 1,5 мл;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1.2.6. автоматическая промывка внутренней и внешней поверхности иглы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автосамплера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1.2.7. датчик утечки растворителей;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1.2.8. превентивная диагностика с сохранением данных в электронном формате;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1.2.9. программирование включения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автосамплера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1.2.10. термостат с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термостатированием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проб в диапазоне температур 4-40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с шагом 1ºС.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1.3. Термостат колонок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1.3.1. нагреваемая зона установки колонок;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1.3.2. диапазон температур 10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ºС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ниже комнатной до 80ºС с шагом 1,0 ºС;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1.3.3. стабильность поддержания температуры: 1,0 °C;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1.3.4. автоматизированный 2-х позиционный 6-портовый кран переключатель потоков элюентов, работающих при давлениях до 600 бар;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1.3.5. вместимость в термостате не менее 2 колонок длиной 30 см каждая;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1.3.6. программирование и автоматическое включение термостата в режиме реального времени;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1.3.7. датчик утечки растворителей;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1.3.8. превентивная диагностика с сохранением данных в электронном формате.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1.4. Диодно-матричный детектор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1.4.1. количество фотодиодов в матрице не менее 1024;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1.4.2. диапазон длин волн не хуже 190-640 нм;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1.4.3. погрешность настройки длин волн ±1 нм;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1.4.4. частота сбора данных детектора не менее 80 Гц;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1.4.5. линейность до 2,0 А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1.4.6. шум не более ±1,0×10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при 273 нм;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1.4.7. дрейф не более ±2×10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/час при 273 нм;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1.4.8. одновременная регистрация не менее чем на 8 длинах волн;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1.4.9. возможность снятия 3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-спектра в потоке;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1.4.10. изменяемая ширина спектральной щели;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1.4.11.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самокалибровка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длин волн;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1.4.12. контроль температуры и срока службы лампы;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1.4.13. датчик утечки растворителей;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1.4.14. программирование и автоматическое включение детектора в режиме реального времени;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1.4.15. превентивная диагностика с сохранением данных в электронном формате;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1.4.16. проточная ячейка с длиной оптического пути 10 мм;</w:t>
            </w:r>
          </w:p>
          <w:p w:rsidR="00D803A4" w:rsidRPr="00A60046" w:rsidRDefault="00D803A4" w:rsidP="00A60046">
            <w:pPr>
              <w:pStyle w:val="a9"/>
              <w:spacing w:after="0" w:line="240" w:lineRule="exact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1.4.17. максимально допустимое давление на проточной ячейке не менее 120 бар.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2. Программное обеспечение:</w:t>
            </w:r>
          </w:p>
          <w:p w:rsidR="00B614B4" w:rsidRPr="00B614B4" w:rsidRDefault="00B614B4" w:rsidP="00B614B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14B4">
              <w:rPr>
                <w:rFonts w:ascii="Times New Roman" w:hAnsi="Times New Roman"/>
                <w:sz w:val="24"/>
                <w:szCs w:val="24"/>
              </w:rPr>
              <w:t xml:space="preserve">Лицензионное единое для всей системы специализированное </w:t>
            </w:r>
            <w:proofErr w:type="spellStart"/>
            <w:r w:rsidRPr="00B614B4">
              <w:rPr>
                <w:rFonts w:ascii="Times New Roman" w:hAnsi="Times New Roman"/>
                <w:sz w:val="24"/>
                <w:szCs w:val="24"/>
              </w:rPr>
              <w:t>хроматографическое</w:t>
            </w:r>
            <w:proofErr w:type="spellEnd"/>
            <w:r w:rsidRPr="00B614B4"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 должно осуществлять полное управление </w:t>
            </w:r>
            <w:proofErr w:type="spellStart"/>
            <w:r w:rsidRPr="00B614B4">
              <w:rPr>
                <w:rFonts w:ascii="Times New Roman" w:hAnsi="Times New Roman"/>
                <w:sz w:val="24"/>
                <w:szCs w:val="24"/>
              </w:rPr>
              <w:t>хроматографической</w:t>
            </w:r>
            <w:proofErr w:type="spellEnd"/>
            <w:r w:rsidRPr="00B614B4">
              <w:rPr>
                <w:rFonts w:ascii="Times New Roman" w:hAnsi="Times New Roman"/>
                <w:sz w:val="24"/>
                <w:szCs w:val="24"/>
              </w:rPr>
              <w:t xml:space="preserve"> системой, сбор и обработку данных, самодиагностику оборудования, проверку готовности к работе, проведения полного аудита работы, соответствующее требованиям </w:t>
            </w:r>
            <w:r w:rsidRPr="00B614B4">
              <w:rPr>
                <w:rFonts w:ascii="Times New Roman" w:hAnsi="Times New Roman"/>
                <w:sz w:val="24"/>
                <w:szCs w:val="24"/>
                <w:lang w:val="en-US"/>
              </w:rPr>
              <w:t>GMP</w:t>
            </w:r>
            <w:r w:rsidRPr="00B614B4">
              <w:rPr>
                <w:rFonts w:ascii="Times New Roman" w:hAnsi="Times New Roman"/>
                <w:sz w:val="24"/>
                <w:szCs w:val="24"/>
              </w:rPr>
              <w:t>/</w:t>
            </w:r>
            <w:r w:rsidRPr="00B614B4">
              <w:rPr>
                <w:rFonts w:ascii="Times New Roman" w:hAnsi="Times New Roman"/>
                <w:sz w:val="24"/>
                <w:szCs w:val="24"/>
                <w:lang w:val="en-US"/>
              </w:rPr>
              <w:t>GLP</w:t>
            </w:r>
            <w:r w:rsidRPr="00B614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14B4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Pr="00B614B4">
              <w:rPr>
                <w:rFonts w:ascii="Times New Roman" w:hAnsi="Times New Roman"/>
                <w:sz w:val="24"/>
                <w:szCs w:val="24"/>
              </w:rPr>
              <w:t xml:space="preserve">, ГФ РБ 2.2.46, </w:t>
            </w:r>
            <w:r w:rsidRPr="00B614B4">
              <w:rPr>
                <w:rFonts w:ascii="Times New Roman" w:hAnsi="Times New Roman"/>
                <w:sz w:val="24"/>
                <w:szCs w:val="24"/>
                <w:lang w:val="en-US"/>
              </w:rPr>
              <w:t>CFR</w:t>
            </w:r>
            <w:r w:rsidRPr="00B614B4">
              <w:rPr>
                <w:rFonts w:ascii="Times New Roman" w:hAnsi="Times New Roman"/>
                <w:sz w:val="24"/>
                <w:szCs w:val="24"/>
              </w:rPr>
              <w:t xml:space="preserve"> 21 имеющее возможность задания формул для дополнительных расчетов, возможность конфигурирования для работы в сетевом режиме с множественными системами ВЭЖХ и рабочими местами.</w:t>
            </w:r>
            <w:proofErr w:type="gramEnd"/>
          </w:p>
          <w:p w:rsidR="00B614B4" w:rsidRPr="00B614B4" w:rsidRDefault="00B614B4" w:rsidP="00B614B4">
            <w:pPr>
              <w:spacing w:after="0"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614B4">
              <w:rPr>
                <w:rFonts w:ascii="Times New Roman" w:hAnsi="Times New Roman"/>
                <w:sz w:val="24"/>
                <w:szCs w:val="24"/>
              </w:rPr>
              <w:t>В программное обеспечение для сбора и обработки данных должны быть включены:</w:t>
            </w:r>
          </w:p>
          <w:p w:rsidR="00B614B4" w:rsidRPr="00B614B4" w:rsidRDefault="00B614B4" w:rsidP="00B614B4">
            <w:pPr>
              <w:pStyle w:val="a9"/>
              <w:numPr>
                <w:ilvl w:val="0"/>
                <w:numId w:val="20"/>
              </w:numPr>
              <w:spacing w:after="0"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 «пригодность системы»: </w:t>
            </w:r>
            <w:r w:rsidRPr="00B614B4">
              <w:rPr>
                <w:rFonts w:ascii="Times New Roman" w:hAnsi="Times New Roman" w:cs="Times New Roman"/>
                <w:sz w:val="24"/>
                <w:szCs w:val="24"/>
              </w:rPr>
              <w:t>разрешение, теоретические тарелки, фактор асимметрии пика, сигнал/шум</w:t>
            </w:r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14B4" w:rsidRPr="00B614B4" w:rsidRDefault="00B614B4" w:rsidP="00B614B4">
            <w:pPr>
              <w:pStyle w:val="a9"/>
              <w:numPr>
                <w:ilvl w:val="0"/>
                <w:numId w:val="20"/>
              </w:numPr>
              <w:spacing w:after="0"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автодиагностики</w:t>
            </w:r>
            <w:proofErr w:type="spellEnd"/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системы;</w:t>
            </w:r>
          </w:p>
          <w:p w:rsidR="00B614B4" w:rsidRPr="00B614B4" w:rsidRDefault="00B614B4" w:rsidP="00B614B4">
            <w:pPr>
              <w:pStyle w:val="a9"/>
              <w:numPr>
                <w:ilvl w:val="0"/>
                <w:numId w:val="20"/>
              </w:numPr>
              <w:spacing w:after="0"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опция составления отчётов, включая задание формул для дополнительных расчётов и предоставление отчётов в ЛИМС;</w:t>
            </w:r>
          </w:p>
          <w:p w:rsidR="00B614B4" w:rsidRPr="00B614B4" w:rsidRDefault="00B614B4" w:rsidP="00B614B4">
            <w:pPr>
              <w:pStyle w:val="a9"/>
              <w:numPr>
                <w:ilvl w:val="0"/>
                <w:numId w:val="20"/>
              </w:numPr>
              <w:spacing w:after="0"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B4">
              <w:rPr>
                <w:rFonts w:ascii="Times New Roman" w:hAnsi="Times New Roman" w:cs="Times New Roman"/>
                <w:noProof/>
                <w:sz w:val="24"/>
                <w:szCs w:val="24"/>
              </w:rPr>
              <w:t>функции защиты и аудита данных, блокировки от изменения и удаления данных, защищённые методы и функции;</w:t>
            </w:r>
          </w:p>
          <w:p w:rsidR="00B614B4" w:rsidRPr="00B614B4" w:rsidRDefault="00B614B4" w:rsidP="00B614B4">
            <w:pPr>
              <w:pStyle w:val="a9"/>
              <w:numPr>
                <w:ilvl w:val="0"/>
                <w:numId w:val="20"/>
              </w:numPr>
              <w:spacing w:after="0" w:line="240" w:lineRule="exact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пользователей и прав доступа;</w:t>
            </w:r>
          </w:p>
          <w:p w:rsidR="00B614B4" w:rsidRPr="00B614B4" w:rsidRDefault="00B614B4" w:rsidP="00B614B4">
            <w:pPr>
              <w:spacing w:after="0" w:line="240" w:lineRule="exact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614B4">
              <w:rPr>
                <w:rFonts w:ascii="Times New Roman" w:hAnsi="Times New Roman"/>
                <w:sz w:val="24"/>
                <w:szCs w:val="24"/>
              </w:rPr>
              <w:t xml:space="preserve">Каждая требуемая функция программного обеспечения для сбора и обработки данных должна быть подтверждена </w:t>
            </w:r>
            <w:proofErr w:type="spellStart"/>
            <w:r w:rsidRPr="00B614B4">
              <w:rPr>
                <w:rFonts w:ascii="Times New Roman" w:hAnsi="Times New Roman"/>
                <w:sz w:val="24"/>
                <w:szCs w:val="24"/>
              </w:rPr>
              <w:t>скриншотом</w:t>
            </w:r>
            <w:proofErr w:type="spellEnd"/>
            <w:r w:rsidRPr="00B614B4">
              <w:rPr>
                <w:rFonts w:ascii="Times New Roman" w:hAnsi="Times New Roman"/>
                <w:sz w:val="24"/>
                <w:szCs w:val="24"/>
              </w:rPr>
              <w:t xml:space="preserve"> и выдержкой из руководства пользователя.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3. Дополнительная комплектация к хроматографу: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500 стеклянных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виал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с резьбой на 1,5 мл с крышками и септами из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тефлона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100 деактивированных стеклянных конических вставок с инертным полимерным наконечником для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виал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на 1,5 мл;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5 пластиковых подставок для 50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виал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на 1,5 мл;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набор инструментов, запчастей и расходных материалов, необходимых для запуска хроматографа;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самостоятельного технического обслуживания всех узлов хроматографа;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 крышек (переходники с S40 на GL45 или с GL45 на S40 в комплекте) с трубками и клапанами для бутылей, предотвращающими выброс растворителей в окружающую среду;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 крышка (переходник с S40 на GL45 или с GL45 на S40 в комплекте) с трубками и фильтром для бутыли со сливом растворителей;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устройство для аварийного сброса давления, предотвращающее поломку ячейки диодно-матричного детектора;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 картриджа в обратный клапан насоса высокого давления;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типа, обеспечивающий время автономной работы ВЭЖХ (при максимальной загрузке) не менее 10 мин;</w:t>
            </w:r>
          </w:p>
          <w:p w:rsidR="00D803A4" w:rsidRPr="00A60046" w:rsidRDefault="00D803A4" w:rsidP="00A60046">
            <w:pPr>
              <w:pStyle w:val="af"/>
              <w:numPr>
                <w:ilvl w:val="0"/>
                <w:numId w:val="19"/>
              </w:numPr>
              <w:spacing w:before="0" w:beforeAutospacing="0" w:after="0" w:afterAutospacing="0" w:line="240" w:lineRule="exact"/>
              <w:ind w:left="0" w:firstLine="567"/>
              <w:jc w:val="both"/>
            </w:pPr>
            <w:r w:rsidRPr="00A60046">
              <w:t>черно-белый лазерный принтер. Поставляемый принтер должен быть сертифицирован на территории РБ. Расходные материалы к принтеру должны быть представлены на рынке РБ в свободной продаже;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комплекте, позволяющий поддерживать программное обеспечение (характеристики не хуже: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i5-10400 или аналог; 16 Гб DDR 4 2666 МГц; видео не хуже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UHD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Graphics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630; ЖКИ (LCD)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, диагональ не менее 22’’, DVI,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D-Sub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; DVD-RW; HDD 2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, порты: USB 2.0  не менее 2-х, PS/2 (2), RJ-45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– 2 порта 1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03A4" w:rsidRPr="00A60046" w:rsidRDefault="00D803A4" w:rsidP="00A60046">
            <w:pPr>
              <w:pStyle w:val="a9"/>
              <w:numPr>
                <w:ilvl w:val="0"/>
                <w:numId w:val="19"/>
              </w:numPr>
              <w:spacing w:after="0"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должен быть под управлением ОС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х64 с лицензией (с голографическими наклейками или иными подтверждающими подлинность идентификаторами согласно требованиям компании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в количестве, соответствующем количеству единиц оборудования. Версия ОС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должна иметь поддержку компанией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поставки оборудования.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Электропитание: 220В, 50Гц, 2,2 кВт.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Габаритные размеры (В </w:t>
            </w:r>
            <w:proofErr w:type="spellStart"/>
            <w:r w:rsidRPr="00A600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004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Г), не более: 400×500×1000 мм.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Оборудование должно соответствовать требованиям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GMP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/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GLP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EP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ГФ РБ 2.2.46, ТКП 030-2017 приложение 11,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CFR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Part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145B38" w:rsidRPr="00A60046" w:rsidRDefault="00145B38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Общие требования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Документы: протоколы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на русском языке и руководство пользователя на русском языке.</w:t>
            </w:r>
          </w:p>
          <w:p w:rsidR="00D803A4" w:rsidRPr="00A60046" w:rsidRDefault="00D803A4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Все модули жидкостного хроматографа должны быть изготовлены одним производителем.</w:t>
            </w:r>
          </w:p>
          <w:p w:rsidR="00145B38" w:rsidRPr="00A60046" w:rsidRDefault="00145B38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Соответствие стандартам безопасности (СЕ).</w:t>
            </w:r>
          </w:p>
          <w:p w:rsidR="00145B38" w:rsidRPr="00A60046" w:rsidRDefault="00145B38" w:rsidP="00A60046">
            <w:pPr>
              <w:shd w:val="clear" w:color="auto" w:fill="FFFFFF"/>
              <w:tabs>
                <w:tab w:val="left" w:pos="256"/>
              </w:tabs>
              <w:spacing w:after="0" w:line="240" w:lineRule="exact"/>
              <w:ind w:firstLine="567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Фирма поставщик должна обеспечивать инсталляцию оборудования, гарантийное и пост гарантийное обслуживание.</w:t>
            </w:r>
          </w:p>
          <w:p w:rsidR="00145B38" w:rsidRPr="00A60046" w:rsidRDefault="00145B38" w:rsidP="00A60046">
            <w:pPr>
              <w:spacing w:after="0" w:line="240" w:lineRule="exact"/>
              <w:ind w:firstLine="567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Поставляемое оборудование должно быть внесено в </w:t>
            </w:r>
            <w:proofErr w:type="spellStart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Госреестр</w:t>
            </w:r>
            <w:proofErr w:type="spellEnd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СИ допущенных к применению в РБ и </w:t>
            </w:r>
            <w:proofErr w:type="spellStart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поверено</w:t>
            </w:r>
            <w:proofErr w:type="spellEnd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в Государственном метрологическом органе.</w:t>
            </w:r>
          </w:p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конкурсных предложениях необходимо предоставлять подробную спецификацию с отдельным указанием всех составляющих компонентов в соответствии с требованиями технического задания, их каталожных или других идентификационных номеров. Для подтверждения технических характеристик необходимо предоставить документальное подтверждение (техническую спецификацию) на фирменном бланке завода-изготовителя.</w:t>
            </w:r>
          </w:p>
          <w:p w:rsidR="00145B38" w:rsidRPr="00A60046" w:rsidRDefault="00145B38" w:rsidP="00A60046">
            <w:pPr>
              <w:autoSpaceDE w:val="0"/>
              <w:autoSpaceDN w:val="0"/>
              <w:adjustRightInd w:val="0"/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Наличие в комплекте поставки следующих документов: сертификат происхождения, валидационный пакет документов (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/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) на русском языке, инструкция по эксплуатации и обслуживанию оборудования на русском языке на бумажном и электронном носителе, техническая документация.</w:t>
            </w:r>
          </w:p>
          <w:p w:rsidR="00D803A4" w:rsidRPr="00A60046" w:rsidRDefault="00145B38" w:rsidP="00A60046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Подтверждение технических характеристик должно совпадать с информацией, размещенной на сайте компании производителя.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26.51.53.200</w:t>
            </w: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Хроматографы и приборы для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электрофареза</w:t>
            </w:r>
            <w:proofErr w:type="spellEnd"/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Условия поставки:</w:t>
            </w:r>
          </w:p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или </w:t>
            </w: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Борисов для резидентов РБ</w:t>
            </w:r>
          </w:p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Срок поставки: предложение участника (с 01.0</w:t>
            </w:r>
            <w:r w:rsidR="00A60046">
              <w:rPr>
                <w:rFonts w:ascii="Times New Roman" w:eastAsia="MS Minngs" w:hAnsi="Times New Roman"/>
                <w:sz w:val="24"/>
                <w:szCs w:val="24"/>
              </w:rPr>
              <w:t>1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.202</w:t>
            </w:r>
            <w:r w:rsidR="00A60046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по </w:t>
            </w:r>
            <w:r w:rsidR="00A60046">
              <w:rPr>
                <w:rFonts w:ascii="Times New Roman" w:eastAsia="MS Minngs" w:hAnsi="Times New Roman"/>
                <w:sz w:val="24"/>
                <w:szCs w:val="24"/>
              </w:rPr>
              <w:t>01.10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.202</w:t>
            </w:r>
            <w:r w:rsidR="00A60046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) </w:t>
            </w:r>
          </w:p>
          <w:p w:rsidR="00145B38" w:rsidRPr="00A60046" w:rsidRDefault="00145B38" w:rsidP="00A60046">
            <w:pPr>
              <w:pStyle w:val="Style7"/>
              <w:widowControl/>
              <w:spacing w:line="240" w:lineRule="exact"/>
              <w:ind w:right="-1" w:firstLine="0"/>
              <w:rPr>
                <w:rFonts w:eastAsia="MS Minngs"/>
              </w:rPr>
            </w:pPr>
            <w:r w:rsidRPr="00A60046">
              <w:rPr>
                <w:rFonts w:eastAsia="MS Minngs"/>
              </w:rPr>
              <w:t xml:space="preserve">2-шт. – </w:t>
            </w:r>
            <w:r w:rsidR="00A60046">
              <w:rPr>
                <w:rFonts w:eastAsia="MS Minngs"/>
              </w:rPr>
              <w:t>1</w:t>
            </w:r>
            <w:r w:rsidRPr="00A60046">
              <w:rPr>
                <w:rFonts w:eastAsia="MS Minngs"/>
              </w:rPr>
              <w:t>-й квартал</w:t>
            </w:r>
            <w:r w:rsidR="00A60046">
              <w:rPr>
                <w:rFonts w:eastAsia="MS Minngs"/>
              </w:rPr>
              <w:t xml:space="preserve"> 2023</w:t>
            </w:r>
            <w:r w:rsidRPr="00A60046">
              <w:rPr>
                <w:rFonts w:eastAsia="MS Minngs"/>
              </w:rPr>
              <w:t xml:space="preserve">; </w:t>
            </w:r>
          </w:p>
          <w:p w:rsidR="00145B38" w:rsidRPr="00A60046" w:rsidRDefault="00145B38" w:rsidP="00A60046">
            <w:pPr>
              <w:pStyle w:val="Style7"/>
              <w:widowControl/>
              <w:spacing w:line="240" w:lineRule="exact"/>
              <w:ind w:right="-1" w:firstLine="0"/>
              <w:rPr>
                <w:rFonts w:eastAsia="MS Minngs"/>
              </w:rPr>
            </w:pPr>
            <w:r w:rsidRPr="00A60046">
              <w:rPr>
                <w:rFonts w:eastAsia="MS Minngs"/>
              </w:rPr>
              <w:t xml:space="preserve">2 шт. – </w:t>
            </w:r>
            <w:r w:rsidR="00A60046">
              <w:rPr>
                <w:rFonts w:eastAsia="MS Minngs"/>
              </w:rPr>
              <w:t>2</w:t>
            </w:r>
            <w:r w:rsidRPr="00A60046">
              <w:rPr>
                <w:rFonts w:eastAsia="MS Minngs"/>
              </w:rPr>
              <w:t>-й квартал</w:t>
            </w:r>
            <w:r w:rsidR="00A60046">
              <w:rPr>
                <w:rFonts w:eastAsia="MS Minngs"/>
              </w:rPr>
              <w:t xml:space="preserve"> 2023</w:t>
            </w:r>
            <w:r w:rsidRPr="00A60046">
              <w:rPr>
                <w:rFonts w:eastAsia="MS Minngs"/>
              </w:rPr>
              <w:t xml:space="preserve">; </w:t>
            </w:r>
          </w:p>
          <w:p w:rsidR="004960F0" w:rsidRDefault="00145B38" w:rsidP="00A60046">
            <w:pPr>
              <w:pStyle w:val="Style7"/>
              <w:widowControl/>
              <w:spacing w:line="240" w:lineRule="exact"/>
              <w:ind w:right="-1" w:firstLine="0"/>
              <w:rPr>
                <w:rFonts w:eastAsia="MS Minngs"/>
              </w:rPr>
            </w:pPr>
            <w:r w:rsidRPr="00A60046">
              <w:rPr>
                <w:rFonts w:eastAsia="MS Minngs"/>
              </w:rPr>
              <w:t xml:space="preserve">1-шт. – </w:t>
            </w:r>
            <w:r w:rsidR="00A60046">
              <w:rPr>
                <w:rFonts w:eastAsia="MS Minngs"/>
              </w:rPr>
              <w:t>3</w:t>
            </w:r>
            <w:r w:rsidRPr="00A60046">
              <w:rPr>
                <w:rFonts w:eastAsia="MS Minngs"/>
              </w:rPr>
              <w:t>-й квартал</w:t>
            </w:r>
            <w:r w:rsidR="00A60046">
              <w:rPr>
                <w:rFonts w:eastAsia="MS Minngs"/>
              </w:rPr>
              <w:t xml:space="preserve"> 2023</w:t>
            </w:r>
            <w:r w:rsidRPr="00A60046">
              <w:rPr>
                <w:rFonts w:eastAsia="MS Minngs"/>
              </w:rPr>
              <w:t>.</w:t>
            </w:r>
          </w:p>
          <w:p w:rsidR="00A60046" w:rsidRPr="003B553A" w:rsidRDefault="00A60046" w:rsidP="00A60046">
            <w:pPr>
              <w:pStyle w:val="Style7"/>
              <w:widowControl/>
              <w:spacing w:line="240" w:lineRule="exact"/>
              <w:ind w:right="-1" w:firstLine="0"/>
              <w:rPr>
                <w:lang w:val="en-US"/>
              </w:rPr>
            </w:pPr>
            <w:r>
              <w:rPr>
                <w:rFonts w:eastAsia="MS Minngs"/>
              </w:rPr>
              <w:t>Допускается досрочная поставка</w:t>
            </w:r>
            <w:r w:rsidR="003B553A">
              <w:rPr>
                <w:rFonts w:eastAsia="MS Minngs"/>
                <w:lang w:val="en-U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  <w:gridSpan w:val="4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 -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стоимость товара, налоги, таможенные пошлины и другие обязательные платежи,  доставка на склад покупателя -  по факту поставки в течение 15 банковских дней; </w:t>
            </w:r>
          </w:p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 -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пуско-наладочные работы, государственная поверка  и обучение персонала (не менее 2-х человек) по месту установки оборудования, заполнение протоколов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- после выполнения пусконаладочных работ и подписания акта приемки оборудования в течение 15 банковских дней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–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 000,00 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2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Pr="00A60046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A60046" w:rsidTr="00A60046">
        <w:trPr>
          <w:trHeight w:val="2208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оборудования (участник) должен включить:</w:t>
            </w:r>
          </w:p>
          <w:p w:rsidR="004960F0" w:rsidRPr="00A60046" w:rsidRDefault="004960F0" w:rsidP="00A60046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Стоимость самого оборудования, доставку, упаковку, маркировку, пуско-наладочные работы, поверку, обучение персонала (не менее двух человек) работе на оборудовании, заполнение валидационных документов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/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налоги, таможенные пошлины и другие обязательные платежи.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Также в цену предложения должны быть включены: гарантийное обслуживание в течение </w:t>
            </w:r>
            <w:r w:rsidR="00E4517E" w:rsidRPr="00A60046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12 месяцев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</w:tc>
      </w:tr>
      <w:tr w:rsidR="004960F0" w:rsidRPr="00A60046" w:rsidTr="00DF5930">
        <w:trPr>
          <w:trHeight w:val="2837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 w:rsidRPr="00A60046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A60046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 w:rsidRPr="00A60046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A60046" w:rsidRDefault="004960F0" w:rsidP="00A60046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A60046" w:rsidRDefault="004960F0" w:rsidP="00A60046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A60046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курсу НБ РБ на день выписки товарно-транспортной накладной с  учетом проведения процедуры переговоров о снижении цены. </w:t>
            </w:r>
          </w:p>
          <w:p w:rsidR="004960F0" w:rsidRPr="00A60046" w:rsidRDefault="004960F0" w:rsidP="00A60046">
            <w:pPr>
              <w:pStyle w:val="Style7"/>
              <w:spacing w:line="240" w:lineRule="exact"/>
              <w:ind w:right="-2" w:firstLine="567"/>
              <w:rPr>
                <w:color w:val="002060"/>
              </w:rPr>
            </w:pPr>
            <w:r w:rsidRPr="00A60046">
              <w:t xml:space="preserve">Контракт с победителем-нерезидентом РБ будет заключен </w:t>
            </w:r>
            <w:r w:rsidRPr="00A60046">
              <w:rPr>
                <w:iCs/>
              </w:rPr>
              <w:t xml:space="preserve">на условиях конкурсного предложения  </w:t>
            </w:r>
            <w:r w:rsidRPr="00A60046">
              <w:t xml:space="preserve">в валюте, предложенной участником </w:t>
            </w:r>
            <w:r w:rsidRPr="00A60046">
              <w:rPr>
                <w:iCs/>
              </w:rPr>
              <w:t>с  учетом проведения процедуры переговоров о снижении цены</w:t>
            </w:r>
            <w:r w:rsidRPr="00A60046">
              <w:t>.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№2, предложение для участия в открытом конкурсе  по закупке хроматограф</w:t>
            </w:r>
            <w:r w:rsidR="00145B38" w:rsidRPr="00A60046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454AA8" w:rsidRPr="00454AA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A6004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145B38" w:rsidRPr="00A60046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454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A6004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145B38"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- спецификация с полным описанием предлагаемого товара по прилагаемой форме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1. Заявление участника о наличии сервисного центра для гарантийного и послегарантийного обслуживания на территории РБ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 и квалификационными сертификатами специалистов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Копия свидетельство регистрации юридического лица.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Заявление участника о гарантийном сроке на поставляемое оборудование – не менее 12 месяцев.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Копии сертификатов (в т.ч. ИСО), деклараций на соответствие требованиям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ЕАЭС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5. Заявление участника об отсутствии задолженности по налогам, сборам и пеням.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Документы, подтверждающие полномочия претендентов на занятие деятельностью, связанной с поставкой данного оборудования (лицензия и т.д.)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7. Сведение о внесении оборудования в </w:t>
            </w:r>
            <w:proofErr w:type="spellStart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Госреестр</w:t>
            </w:r>
            <w:proofErr w:type="spellEnd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СИ, допущенных к применению в РБ, и поверки в Государственном метрологическом органе;</w:t>
            </w:r>
          </w:p>
          <w:p w:rsidR="00476A0B" w:rsidRPr="00A60046" w:rsidRDefault="00145B38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8. Заявление о том, что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оборудование, запасные части и расходные материалы новые</w:t>
            </w:r>
            <w:r w:rsidR="00476A0B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A0B" w:rsidRPr="00A60046" w:rsidRDefault="00476A0B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Документы, подтверждающие статус производителя и (или) </w:t>
            </w: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сбытовой организацией (официальный торговый представитель).</w:t>
            </w:r>
            <w:r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6A0B" w:rsidRPr="00A60046" w:rsidRDefault="00476A0B" w:rsidP="00A60046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AE5B93" w:rsidRPr="00A60046" w:rsidRDefault="00476A0B" w:rsidP="00A60046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 </w:t>
            </w:r>
            <w:r w:rsidR="00145B38"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г. Борисов,  ул. Чапаева 64 до 13.00 </w:t>
            </w:r>
            <w:r w:rsidR="0045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45B38" w:rsidRPr="00A6004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80 % (0,8)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10 % (0,1)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  <w:vAlign w:val="center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условия оплаты (отсрочка платежа)</w:t>
                  </w:r>
                </w:p>
              </w:tc>
              <w:tc>
                <w:tcPr>
                  <w:tcW w:w="2061" w:type="dxa"/>
                  <w:vAlign w:val="center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10 % (0,1)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*(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Где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Ср.м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145B38" w:rsidRPr="00A60046" w:rsidRDefault="00145B38" w:rsidP="00A6004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Наилучшие условия оплаты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предпочтение будет отдано наибольшему количеству дней отсрочки по оплате свыше 15 банковских  дней</w:t>
            </w:r>
          </w:p>
          <w:p w:rsidR="00145B38" w:rsidRPr="00A60046" w:rsidRDefault="00145B38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145B38" w:rsidRPr="00A60046" w:rsidRDefault="00145B38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оплаты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максимальный  срок отсрочки платежа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оценки, 0,1 .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 64 в 14.00 </w:t>
            </w:r>
            <w:r w:rsidR="0045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5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4960F0" w:rsidRPr="00A60046" w:rsidRDefault="004960F0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31CEC"/>
    <w:rsid w:val="000354C4"/>
    <w:rsid w:val="0005133D"/>
    <w:rsid w:val="00063A93"/>
    <w:rsid w:val="000673E3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3004"/>
    <w:rsid w:val="00132ADC"/>
    <w:rsid w:val="00142675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20E5D"/>
    <w:rsid w:val="00335451"/>
    <w:rsid w:val="0034114C"/>
    <w:rsid w:val="003B553A"/>
    <w:rsid w:val="003B6A08"/>
    <w:rsid w:val="003C785D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54AA8"/>
    <w:rsid w:val="00460979"/>
    <w:rsid w:val="00476A0B"/>
    <w:rsid w:val="00477B7B"/>
    <w:rsid w:val="00485ABF"/>
    <w:rsid w:val="004960F0"/>
    <w:rsid w:val="004A05C1"/>
    <w:rsid w:val="004D71BD"/>
    <w:rsid w:val="004F166A"/>
    <w:rsid w:val="004F58B5"/>
    <w:rsid w:val="0051176E"/>
    <w:rsid w:val="005201DC"/>
    <w:rsid w:val="005269D3"/>
    <w:rsid w:val="0053447A"/>
    <w:rsid w:val="00545C8A"/>
    <w:rsid w:val="005460D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94670"/>
    <w:rsid w:val="006A374E"/>
    <w:rsid w:val="006C43BA"/>
    <w:rsid w:val="0070322E"/>
    <w:rsid w:val="007158EA"/>
    <w:rsid w:val="007309A4"/>
    <w:rsid w:val="0073625D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A0C"/>
    <w:rsid w:val="007B56D4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B0514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96</cp:revision>
  <cp:lastPrinted>2022-10-12T06:21:00Z</cp:lastPrinted>
  <dcterms:created xsi:type="dcterms:W3CDTF">2019-03-27T06:23:00Z</dcterms:created>
  <dcterms:modified xsi:type="dcterms:W3CDTF">2022-10-12T06:21:00Z</dcterms:modified>
</cp:coreProperties>
</file>