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742B02">
      <w:pPr>
        <w:pStyle w:val="ConsPlusNonformat"/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742B02">
      <w:pPr>
        <w:pStyle w:val="ConsPlusNonformat"/>
        <w:spacing w:line="280" w:lineRule="exac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742B02">
      <w:pPr>
        <w:pStyle w:val="ConsPlusNonformat"/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742B02">
      <w:pPr>
        <w:pStyle w:val="ConsPlusNonformat"/>
        <w:spacing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742B02">
      <w:pPr>
        <w:pStyle w:val="ConsPlusNonformat"/>
        <w:spacing w:line="280" w:lineRule="exac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8D5039" w:rsidRPr="00742B02">
        <w:rPr>
          <w:rFonts w:ascii="Times New Roman" w:hAnsi="Times New Roman" w:cs="Times New Roman"/>
          <w:sz w:val="28"/>
          <w:szCs w:val="28"/>
        </w:rPr>
        <w:t>2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467F78">
        <w:rPr>
          <w:rFonts w:ascii="Times New Roman" w:hAnsi="Times New Roman"/>
          <w:b/>
          <w:sz w:val="28"/>
          <w:szCs w:val="28"/>
        </w:rPr>
        <w:t>межсетевого экрана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2C7B64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2C7B64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742B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74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  <w:r w:rsidR="0099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8D5039" w:rsidRPr="002A10FC" w:rsidRDefault="002A10FC" w:rsidP="00EB74DE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r w:rsidR="00467F7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Межсетевой экран</w:t>
            </w:r>
          </w:p>
          <w:p w:rsidR="00D64AEB" w:rsidRDefault="00D64AEB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0F0" w:rsidRPr="002A10FC" w:rsidRDefault="008D5039" w:rsidP="00467F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 xml:space="preserve">доставка, упаковка, </w:t>
            </w:r>
            <w:r w:rsidR="00467F78">
              <w:rPr>
                <w:rFonts w:ascii="Times New Roman" w:hAnsi="Times New Roman"/>
                <w:sz w:val="24"/>
                <w:szCs w:val="24"/>
              </w:rPr>
              <w:t>установка, подключение, настройка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9915D9" w:rsidRDefault="00467F78" w:rsidP="00BA162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A162C">
              <w:rPr>
                <w:rFonts w:ascii="Times New Roman" w:hAnsi="Times New Roman"/>
                <w:sz w:val="24"/>
                <w:szCs w:val="24"/>
              </w:rPr>
              <w:t>комплекта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62C" w:rsidRPr="009915D9" w:rsidRDefault="00BA162C" w:rsidP="00BA162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ючает в себя: межсетевой экран, программно-аппаратный комплекс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467F78" w:rsidRDefault="008D3D30" w:rsidP="00467F7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F78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467F78" w:rsidRPr="00467F78" w:rsidRDefault="00467F78" w:rsidP="00467F78">
            <w:pPr>
              <w:pStyle w:val="ab"/>
              <w:tabs>
                <w:tab w:val="left" w:pos="1620"/>
              </w:tabs>
              <w:spacing w:line="240" w:lineRule="exact"/>
              <w:jc w:val="both"/>
              <w:rPr>
                <w:b/>
                <w:color w:val="000000"/>
              </w:rPr>
            </w:pPr>
            <w:r w:rsidRPr="00467F78">
              <w:rPr>
                <w:b/>
                <w:color w:val="000000"/>
              </w:rPr>
              <w:t>1. Требования к межсетевому экрану:</w:t>
            </w:r>
          </w:p>
          <w:p w:rsidR="00467F78" w:rsidRPr="00467F78" w:rsidRDefault="00467F78" w:rsidP="00467F78">
            <w:pPr>
              <w:pStyle w:val="Bullets"/>
              <w:numPr>
                <w:ilvl w:val="1"/>
                <w:numId w:val="24"/>
              </w:numPr>
              <w:tabs>
                <w:tab w:val="clear" w:pos="270"/>
                <w:tab w:val="left" w:pos="161"/>
              </w:tabs>
              <w:spacing w:after="0" w:line="240" w:lineRule="exact"/>
              <w:ind w:left="0" w:firstLine="19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  Шлюз безопасности должен использовать контроль состояния соединений на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основе детализированного анализа связи и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состояния приложения для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отслеживания и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управления сетевым потоком.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61"/>
              </w:tabs>
              <w:spacing w:after="0" w:line="240" w:lineRule="exact"/>
              <w:ind w:left="19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1.2.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DHCP–сервер и 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Relay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61"/>
              </w:tabs>
              <w:spacing w:after="0" w:line="240" w:lineRule="exact"/>
              <w:ind w:left="19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1.3.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в себя возможность работы в режиме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Transparent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Bridge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tabs>
                <w:tab w:val="left" w:pos="161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1.3.1. </w:t>
            </w:r>
            <w:r w:rsidRPr="00467F78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Решение должно поддерживать работу на 2 уровне модели OSI (режим </w:t>
            </w:r>
            <w:proofErr w:type="spellStart"/>
            <w:r w:rsidRPr="00467F78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Bridge</w:t>
            </w:r>
            <w:proofErr w:type="spellEnd"/>
            <w:r w:rsidRPr="00467F78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).</w:t>
            </w:r>
          </w:p>
          <w:p w:rsidR="00467F78" w:rsidRPr="00467F78" w:rsidRDefault="00467F78" w:rsidP="00467F78">
            <w:pPr>
              <w:pStyle w:val="a9"/>
              <w:tabs>
                <w:tab w:val="left" w:pos="161"/>
              </w:tabs>
              <w:spacing w:after="0" w:line="240" w:lineRule="exact"/>
              <w:ind w:left="1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</w:pP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 xml:space="preserve">1.3.2. 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Решение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 xml:space="preserve"> 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должно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 xml:space="preserve"> 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поддерживать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 xml:space="preserve"> Firewall, IPS, URL–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фильтрацию</w:t>
            </w:r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>, Anti-</w:t>
            </w:r>
            <w:proofErr w:type="spellStart"/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>Bot</w:t>
            </w:r>
            <w:proofErr w:type="spellEnd"/>
            <w:proofErr w:type="gramStart"/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t>,</w:t>
            </w:r>
            <w:proofErr w:type="gramEnd"/>
            <w:r w:rsidRPr="00467F78">
              <w:rPr>
                <w:rFonts w:ascii="Times New Roman" w:eastAsia="Times New Roman" w:hAnsi="Times New Roman" w:cs="Times New Roman"/>
                <w:sz w:val="24"/>
                <w:szCs w:val="24"/>
                <w:lang w:val="en-US" w:bidi="he-IL"/>
              </w:rPr>
              <w:br/>
              <w:t>Anti-Virus, Application Control, Identity Awareness.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61"/>
                <w:tab w:val="left" w:pos="1418"/>
              </w:tabs>
              <w:spacing w:after="0" w:line="240" w:lineRule="exact"/>
              <w:ind w:left="19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1.3.3.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поддерживать кластеризацию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Active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Active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L2,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Active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Passive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L2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and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L3.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61"/>
                <w:tab w:val="left" w:pos="1418"/>
              </w:tabs>
              <w:spacing w:after="0" w:line="240" w:lineRule="exact"/>
              <w:ind w:left="19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1.3.4.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обработку отказа сеанса для изменения маршрутизации, при сбое устройства или канала.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61"/>
                <w:tab w:val="left" w:pos="1418"/>
              </w:tabs>
              <w:spacing w:after="0" w:line="240" w:lineRule="exact"/>
              <w:ind w:left="19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1.3.5.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поддерживать протокол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VRRP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61"/>
              </w:tabs>
              <w:spacing w:after="0" w:line="240" w:lineRule="exact"/>
              <w:ind w:left="19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1.4.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протоколы динамической маршрутизации OSPFv2 и v3, BGP.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1.5.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маршрутизацию на основе политик.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1.6.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политику, основанную на 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QoS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1.6.1.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позволять, 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гарантировать или ограничивать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пропускную способность и управлять задержкой для определённого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–адреса источника,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–адреса пункта назначения или сервиса.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1.6.2.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иметь возможность произвольного применения правил 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QoS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для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VPN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–трафика.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1.7.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обеспечивать функционал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(системы предотвращения вторжений).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1.7.1.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Система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должна основываться на следующих механизмах обнаружения: использование сигнатур, отслеживание аномалий протоколов, управление приложениями и обнаружение на основе поведения.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1.8.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обеспечивать функционал идентификации пользователей.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1.8.1.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Должно быть способно к сбору идентификаторов пользователей посредством запроса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Microsoft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Active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Directory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на основе событий безопасности.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1.8.2.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Должно иметь метод аутентификации идентификатора пользователя на основе браузера для 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недоменных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пользователей или компьютеров.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1.8.3.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Должно иметь специальный агент, который может быть установлен по политике на компьютерах пользователей, и который может собирать и передавать идентификаторы на шлюз безопасности</w:t>
            </w:r>
            <w:r w:rsidRPr="00467F78">
              <w:rPr>
                <w:rFonts w:ascii="Times New Roman" w:hAnsi="Times New Roman"/>
                <w:sz w:val="24"/>
                <w:szCs w:val="24"/>
                <w:lang w:val="ru-RU" w:bidi="ar-SA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1.9.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обеспечивать функционал управления приложениями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>и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URL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–фильтрации.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1.9.1.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База данных управления приложениями должна содержать свыше 9 300 известных приложений.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1.9.2.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обеспечивать детальный контроль безопасности минимум для 255 700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Web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 2.0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виджетов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1.9.3.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обеспечивать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URL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–категоризацию, включающую более 200 миллионов адресов.</w:t>
            </w:r>
          </w:p>
          <w:p w:rsidR="00467F78" w:rsidRPr="00467F78" w:rsidRDefault="00467F78" w:rsidP="00467F7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Pr="00467F78">
              <w:rPr>
                <w:rFonts w:ascii="Times New Roman" w:hAnsi="Times New Roman"/>
                <w:sz w:val="24"/>
                <w:szCs w:val="24"/>
              </w:rPr>
              <w:t xml:space="preserve">Решение должно обеспечивать функционал </w:t>
            </w:r>
            <w:r w:rsidRPr="00467F78">
              <w:rPr>
                <w:rFonts w:ascii="Times New Roman" w:hAnsi="Times New Roman"/>
                <w:sz w:val="24"/>
                <w:szCs w:val="24"/>
                <w:lang w:val="en-US"/>
              </w:rPr>
              <w:t>Anti</w:t>
            </w:r>
            <w:r w:rsidRPr="00467F7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67F78">
              <w:rPr>
                <w:rFonts w:ascii="Times New Roman" w:hAnsi="Times New Roman"/>
                <w:sz w:val="24"/>
                <w:szCs w:val="24"/>
                <w:lang w:val="en-US"/>
              </w:rPr>
              <w:t>Bot</w:t>
            </w:r>
            <w:proofErr w:type="spellEnd"/>
            <w:r w:rsidRPr="00467F78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467F78">
              <w:rPr>
                <w:rFonts w:ascii="Times New Roman" w:hAnsi="Times New Roman"/>
                <w:sz w:val="24"/>
                <w:szCs w:val="24"/>
                <w:lang w:val="en-US"/>
              </w:rPr>
              <w:t>Anti</w:t>
            </w:r>
            <w:r w:rsidRPr="00467F78">
              <w:rPr>
                <w:rFonts w:ascii="Times New Roman" w:hAnsi="Times New Roman"/>
                <w:sz w:val="24"/>
                <w:szCs w:val="24"/>
              </w:rPr>
              <w:t>-</w:t>
            </w:r>
            <w:r w:rsidRPr="00467F78">
              <w:rPr>
                <w:rFonts w:ascii="Times New Roman" w:hAnsi="Times New Roman"/>
                <w:sz w:val="24"/>
                <w:szCs w:val="24"/>
                <w:lang w:val="en-US"/>
              </w:rPr>
              <w:t>Virus</w:t>
            </w:r>
            <w:r w:rsidRPr="00467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1.10.1.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Приложение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bot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должно быть 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способно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обнаружить и остановить подозрительное анормальное сетевое поведение.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1.10.2.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Приложение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Bot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должно использовать многоуровневый механизм обнаружения, который включает репутацию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–адресов,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URL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DNS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–записей и обнаружение ботов по шаблонам протоколов связи.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1.10.3.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Приложение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virus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должно предотвращать доступ к 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вредоносным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веб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–сайтам и останавливать входящие заражённые файлы.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1.10.4.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Приложение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virus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должно быть 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способно</w:t>
            </w:r>
            <w:proofErr w:type="gramEnd"/>
            <w:r w:rsidRPr="00467F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проверять шифрованный</w:t>
            </w:r>
            <w:r w:rsidRPr="00467F7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SSL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–трафик.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1.10.5.</w:t>
            </w:r>
            <w:r w:rsidRPr="00467F7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 должно обеспечивать возможность управления с помощью централизованного менеджмента.</w:t>
            </w:r>
          </w:p>
          <w:p w:rsidR="00467F78" w:rsidRPr="00467F78" w:rsidRDefault="00467F78" w:rsidP="00467F78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467F78">
              <w:rPr>
                <w:rFonts w:ascii="Times New Roman" w:hAnsi="Times New Roman"/>
                <w:sz w:val="24"/>
                <w:szCs w:val="24"/>
              </w:rPr>
              <w:t xml:space="preserve">Решение должно обеспечивать функционал </w:t>
            </w:r>
            <w:proofErr w:type="spellStart"/>
            <w:r w:rsidRPr="00467F78">
              <w:rPr>
                <w:rFonts w:ascii="Times New Roman" w:hAnsi="Times New Roman"/>
                <w:sz w:val="24"/>
                <w:szCs w:val="24"/>
                <w:lang w:val="en-US"/>
              </w:rPr>
              <w:t>IPsec</w:t>
            </w:r>
            <w:proofErr w:type="spellEnd"/>
            <w:r w:rsidRPr="00467F78">
              <w:rPr>
                <w:rFonts w:ascii="Times New Roman" w:hAnsi="Times New Roman"/>
                <w:sz w:val="24"/>
                <w:szCs w:val="24"/>
                <w:lang w:val="en-US"/>
              </w:rPr>
              <w:t> VPN</w:t>
            </w:r>
            <w:r w:rsidRPr="00467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Должна быть реализована поддержка 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внутреннего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CA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(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Certificate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Authority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), а также внешних, сторонних центров сертификации.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алгоритмы шифрования 3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DES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AES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–256 для первой и второй фаз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IKE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а также «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Suite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B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GCM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–128» и «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Suite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B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GCM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–256» для фазы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II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поддерживать, как минимум, следующие группы алгоритма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Диффи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Хеллмана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 Группа 1 (768 бит), Группа 2 (1024 бит), Группа 5 (1536 бит), Группа 14 (2048 бит), Группа 19 и Группа 20.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1.11.4.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поддерживать обеспечение целостности данных средствами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md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5,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sha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</w:t>
            </w:r>
            <w:r w:rsidRPr="00467F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SHA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–256,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SHA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–384 и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AES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XCBC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134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1.11.5.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поддержку VPN типа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Site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to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Site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в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следующих топологиях: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709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1.11.5.1.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Полносвязная сеть (все–со–всеми).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709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1.11.5.2.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Звездообразная сеть (удалённые офисы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к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центральному сайту).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709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1.11.5.3.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Веерная сеть (удалённый офис через центральный сайт на другой удалённый сайт).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1.12.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Мобильный доступ.</w:t>
            </w:r>
          </w:p>
          <w:p w:rsidR="00467F78" w:rsidRPr="00467F78" w:rsidRDefault="00467F78" w:rsidP="00467F78">
            <w:pPr>
              <w:pStyle w:val="Bullets"/>
              <w:tabs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1.12.1.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обеспечивать функционал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бесклиентного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VPN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плагин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который обеспечивает удалённый доступ с предоставлением полной возможности сетевого соединения для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–приложений. Решение должно обеспечивать функционал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SSL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VPN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третьего уровня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OSI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по запросу для подключения к корпоративным ресурсам. Решение должно поддерживать любое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–приложение, включая протоколы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ICMP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TCP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UDP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не требуя сложной конфигурации для поддержки каждого приложения. Он должен работать на удалённых компьютерах, не требуя прав администратора.</w:t>
            </w:r>
          </w:p>
          <w:p w:rsidR="00467F78" w:rsidRPr="00467F78" w:rsidRDefault="00467F78" w:rsidP="00467F78">
            <w:pPr>
              <w:pStyle w:val="Bullets"/>
              <w:tabs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1.12.2.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интеграцию с решениями двухфакторной аутентификации.</w:t>
            </w:r>
          </w:p>
          <w:p w:rsidR="00467F78" w:rsidRPr="00467F78" w:rsidRDefault="00467F78" w:rsidP="00467F78">
            <w:pPr>
              <w:pStyle w:val="Bullets"/>
              <w:tabs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1.12.3.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реализовать функционал интегрированной системы предотвращения вторжений и защиты от вредоносного кода, передаваемого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>в 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веб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–приложениях. Решение должно быть 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способно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блокировать червей, различные атаки, такие как переполнение буфера, SQL–инъекции команд,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межсайтовый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скриптинг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настраиваемый модуль блокирования HTTP–червей, защиту от обхода каталога (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Directory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Traversal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),</w:t>
            </w:r>
            <w:r w:rsidRPr="00467F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защиту от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отклонения заголовков (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Header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Rejection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защиту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от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 вредоносного HTTP–кода.</w:t>
            </w:r>
          </w:p>
          <w:p w:rsidR="00467F78" w:rsidRPr="00467F78" w:rsidRDefault="00467F78" w:rsidP="00467F78">
            <w:pPr>
              <w:pStyle w:val="Bullets"/>
              <w:tabs>
                <w:tab w:val="left" w:pos="360"/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1.12.4.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целом, решение должно обеспечивать следующие функции: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1.12.4.1.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Безопасный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VPN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–доступ.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1.12.4.2.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Ассоциирование мобильных устройств с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конечными пользователями.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1.12.4.3.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Обеспечение соответствия конечных точек соединения корпоративной политике.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1.13.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Аппаратные и рабочие требования к шлюзу.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Продуктивные сетевые интерфейсы (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минимальн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ые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требования):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1.13.1.1.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Четыре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SFP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+ (оптических) порта со скоростью 10 Гбит/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1.13.1.2.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Десять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RJ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45 (медных)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LAN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–портов со скоростью 1 Гбит/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1.13.1.3.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Один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RJ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45 (медный) консольный порт.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1.13.1.4.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Один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USB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Type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консольный порт.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1.13.1.15.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Два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USB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3.0 порта.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1.13.1.16.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Резервирование источника питания.</w:t>
            </w:r>
          </w:p>
          <w:p w:rsidR="00467F78" w:rsidRPr="00467F78" w:rsidRDefault="00467F78" w:rsidP="00467F78">
            <w:pPr>
              <w:tabs>
                <w:tab w:val="left" w:pos="1276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1.13.2.</w:t>
            </w:r>
            <w:r w:rsidRPr="00467F78">
              <w:rPr>
                <w:rFonts w:ascii="Times New Roman" w:eastAsia="Times New Roman" w:hAnsi="Times New Roman"/>
                <w:sz w:val="24"/>
                <w:szCs w:val="24"/>
              </w:rPr>
              <w:t xml:space="preserve">Пропускная способность в режиме </w:t>
            </w:r>
            <w:proofErr w:type="spellStart"/>
            <w:r w:rsidRPr="00467F78">
              <w:rPr>
                <w:rFonts w:ascii="Times New Roman" w:eastAsia="Times New Roman" w:hAnsi="Times New Roman"/>
                <w:sz w:val="24"/>
                <w:szCs w:val="24"/>
              </w:rPr>
              <w:t>Firewall</w:t>
            </w:r>
            <w:proofErr w:type="spellEnd"/>
            <w:r w:rsidRPr="00467F78">
              <w:rPr>
                <w:rFonts w:ascii="Times New Roman" w:eastAsia="Times New Roman" w:hAnsi="Times New Roman"/>
                <w:sz w:val="24"/>
                <w:szCs w:val="24"/>
              </w:rPr>
              <w:t>: минимум 12 Гбит/</w:t>
            </w:r>
            <w:proofErr w:type="gramStart"/>
            <w:r w:rsidRPr="00467F7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67F7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1.13.3.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Пропускная способность в режиме IPS: минимум 6,5 Гбит/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1.13.4.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Пропускная способность в режиме NGFW (с активированным функционалом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Firewall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Application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Control</w:t>
            </w:r>
            <w:proofErr w:type="spell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 IPS): минимум 5,5 Гбит/</w:t>
            </w:r>
            <w:proofErr w:type="gramStart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</w:t>
            </w:r>
            <w:proofErr w:type="gramEnd"/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1.13.5.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Одновременные соединения: минимум 2 миллиона.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  <w:tab w:val="left" w:pos="1276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1.13.6.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Новые соединения: минимум 90 000 в секунду.</w:t>
            </w:r>
          </w:p>
          <w:p w:rsidR="00467F78" w:rsidRPr="00467F78" w:rsidRDefault="00467F78" w:rsidP="00467F78">
            <w:pPr>
              <w:pStyle w:val="Bullets"/>
              <w:tabs>
                <w:tab w:val="clear" w:pos="270"/>
                <w:tab w:val="left" w:pos="360"/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1.14. </w:t>
            </w:r>
            <w:r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Поддержка и подписка сроком на 1 год от производителя, в режиме «9х5», гарантийная замена оборудования, должны быть включены все необходимые подписки на сервисы безопасности.</w:t>
            </w:r>
          </w:p>
          <w:p w:rsidR="00B41E17" w:rsidRDefault="00B41E17" w:rsidP="00467F78">
            <w:pPr>
              <w:pStyle w:val="ab"/>
              <w:tabs>
                <w:tab w:val="left" w:pos="1620"/>
              </w:tabs>
              <w:spacing w:line="240" w:lineRule="exact"/>
              <w:jc w:val="both"/>
              <w:rPr>
                <w:color w:val="000000"/>
              </w:rPr>
            </w:pPr>
          </w:p>
          <w:p w:rsidR="00467F78" w:rsidRPr="00467F78" w:rsidRDefault="00B41E17" w:rsidP="00467F78">
            <w:pPr>
              <w:pStyle w:val="ab"/>
              <w:tabs>
                <w:tab w:val="left" w:pos="1620"/>
              </w:tabs>
              <w:spacing w:line="240" w:lineRule="exact"/>
              <w:jc w:val="both"/>
              <w:rPr>
                <w:color w:val="000000"/>
              </w:rPr>
            </w:pPr>
            <w:r w:rsidRPr="00B41E17">
              <w:rPr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. </w:t>
            </w:r>
            <w:r w:rsidR="00467F78" w:rsidRPr="00467F78">
              <w:rPr>
                <w:color w:val="000000"/>
              </w:rPr>
              <w:t>Требования к программному комплексу для управления межсетевыми экранами:</w:t>
            </w:r>
          </w:p>
          <w:p w:rsidR="00467F78" w:rsidRPr="00467F78" w:rsidRDefault="00B41E17" w:rsidP="00B41E17">
            <w:pPr>
              <w:tabs>
                <w:tab w:val="left" w:pos="162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467F78" w:rsidRPr="00467F78">
              <w:rPr>
                <w:rFonts w:ascii="Times New Roman" w:hAnsi="Times New Roman"/>
                <w:sz w:val="24"/>
                <w:szCs w:val="24"/>
              </w:rPr>
              <w:t>Решение должно обеспечивать функционал централизованного управления безопасностью.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ru-RU" w:bidi="ar-SA"/>
              </w:rPr>
              <w:t>2.1.1.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Все приложения безопасности Брандмауэра следующего поколения должны быть управляемыми с центральной консоли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GUI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 Доступ к системе управления осуществляется посредством защищённого канала и выделенного приложения, устанавливаемого на АРМ администратора системы.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2.1.2.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Должна поддерживаться фильтрация подключений к менеджменту на основе хранящегося в системе списка разрешённых IP-адресов устройств и подсетей доверенных пользователей.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2.1.3.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Централизованное управление безопасностью должно обеспечивать управление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>5 шлюзами.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2.1.4.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Приложение для управления безопасностью должно поддерживать учетные записи администраторов на основе ролей. Например, только роли для управления политикой брандмауэра или только роль для просмотра журнала.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2.1.5.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обеспечивать возможность обеспечения высокой доступности системы управления, используя резервный сервер управления, который автоматически синхронизируется с активным сервером.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2.1.6.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возможность централизованного распространения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  <w:t>и применения новых версий шлюзового программного обеспечения.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2.1.7.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инструмент для централизованного управления лицензиями всех шлюзов, контролируемых станцией управления. </w:t>
            </w:r>
          </w:p>
          <w:p w:rsidR="00467F78" w:rsidRPr="00467F78" w:rsidRDefault="00B41E17" w:rsidP="00B41E17">
            <w:pPr>
              <w:tabs>
                <w:tab w:val="left" w:pos="162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67F78" w:rsidRPr="00467F78">
              <w:rPr>
                <w:rFonts w:ascii="Times New Roman" w:hAnsi="Times New Roman"/>
                <w:sz w:val="24"/>
                <w:szCs w:val="24"/>
              </w:rPr>
              <w:t xml:space="preserve">Решение должно обеспечивать механизм </w:t>
            </w:r>
            <w:proofErr w:type="gramStart"/>
            <w:r w:rsidR="00467F78" w:rsidRPr="00467F78">
              <w:rPr>
                <w:rFonts w:ascii="Times New Roman" w:hAnsi="Times New Roman"/>
                <w:sz w:val="24"/>
                <w:szCs w:val="24"/>
              </w:rPr>
              <w:t>обновлении</w:t>
            </w:r>
            <w:proofErr w:type="gramEnd"/>
            <w:r w:rsidR="00467F78" w:rsidRPr="00467F78">
              <w:rPr>
                <w:rFonts w:ascii="Times New Roman" w:hAnsi="Times New Roman"/>
                <w:sz w:val="24"/>
                <w:szCs w:val="24"/>
              </w:rPr>
              <w:t xml:space="preserve"> во всех приложениях включая IPS, Управление приложениями, URL-фильтрацию, </w:t>
            </w:r>
            <w:proofErr w:type="spellStart"/>
            <w:r w:rsidR="00467F78" w:rsidRPr="00467F78">
              <w:rPr>
                <w:rFonts w:ascii="Times New Roman" w:hAnsi="Times New Roman"/>
                <w:sz w:val="24"/>
                <w:szCs w:val="24"/>
              </w:rPr>
              <w:t>Anti-Bot</w:t>
            </w:r>
            <w:proofErr w:type="spellEnd"/>
            <w:r w:rsidR="00467F78" w:rsidRPr="00467F7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467F78" w:rsidRPr="00467F78">
              <w:rPr>
                <w:rFonts w:ascii="Times New Roman" w:hAnsi="Times New Roman"/>
                <w:sz w:val="24"/>
                <w:szCs w:val="24"/>
              </w:rPr>
              <w:t>Anti-Virus</w:t>
            </w:r>
            <w:proofErr w:type="spellEnd"/>
            <w:r w:rsidR="00467F78" w:rsidRPr="00467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F78" w:rsidRPr="00467F78" w:rsidRDefault="00B41E17" w:rsidP="00B41E17">
            <w:pPr>
              <w:tabs>
                <w:tab w:val="left" w:pos="162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467F78" w:rsidRPr="00467F78">
              <w:rPr>
                <w:rFonts w:ascii="Times New Roman" w:hAnsi="Times New Roman"/>
                <w:sz w:val="24"/>
                <w:szCs w:val="24"/>
              </w:rPr>
              <w:t>Решение должно обеспечивать функционал Централизованного Протоколирования</w:t>
            </w:r>
            <w:hyperlink r:id="rId9" w:history="1">
              <w:r w:rsidR="00467F78" w:rsidRPr="00467F78">
                <w:rPr>
                  <w:rFonts w:ascii="Times New Roman" w:hAnsi="Times New Roman"/>
                  <w:sz w:val="24"/>
                  <w:szCs w:val="24"/>
                </w:rPr>
                <w:t xml:space="preserve"> &amp; </w:t>
              </w:r>
            </w:hyperlink>
            <w:r w:rsidR="00467F78" w:rsidRPr="00467F78">
              <w:rPr>
                <w:rFonts w:ascii="Times New Roman" w:hAnsi="Times New Roman"/>
                <w:sz w:val="24"/>
                <w:szCs w:val="24"/>
              </w:rPr>
              <w:t>Мониторинга.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ru-RU" w:bidi="ar-SA"/>
              </w:rPr>
              <w:t>2.3.1.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Система централизованного протоколирования событий должна быть частью системы управления. 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2.3.2.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протоколировать все правила. 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2.3.3.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 средства просмотра журналов событий должна быть возможность индексированного поиска.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2.3.4.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иметь возможность протоколирования событий во всех интегрированных приложениях безопасности на шлюзе (включая виртуальные шлюзы), включая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Firewall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IPSEC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VPN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IPS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Идентификация пользователей, Мобильный доступ,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DLP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Управление приложениями,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URL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-фильтрацию,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Bot</w:t>
            </w:r>
            <w:proofErr w:type="spellEnd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Virus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Sandboxing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2.3.5.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 системы протоколирования должен быть безопасный канал для передачи данных для предотвращения подслушивания, канал передачи должен быть зашифрован и проходить проверку подлинности.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2.3.6.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Журналы событий должны безопасно передаваться между шлюзом и управлением или выделенным сервером журналов и консолью просмотра журналов в компьютере администратора.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2.3.7.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опцию динамического блокирования активного соединения в графическом интерфейсе системы протоколирования событий без необходимости внесения изменений в базу правил. 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2.3.8.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настраиваемую установку пороговых значений параметров для выполнения действий при достижении определенных пороговых значений на шлюзе. Действия должны включать: запись события, оповещение, отправка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SNMP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trap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 отправка электронного письма и выполнение определенного пользователем предупреждения.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2.3.9.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предварительно настроенные графики для мониторинга трафика во времени и системных счетчиков: главные правила безопасности, основные пользователи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VPN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туннели, сетевой трафик и другая полезная информация. Решение должно обеспечивать возможность создания новых графиков с различными типами диаграмм.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2.3.10.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поддерживать сегментирование политики безопасности по слоям с возможностью делегирования полномочий разным администраторам с точностью до блоков правил в общей политике.</w:t>
            </w:r>
          </w:p>
          <w:p w:rsidR="00467F78" w:rsidRPr="00B41E17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2.3.11.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обеспечивать хранение ревизий политик для </w:t>
            </w:r>
            <w:proofErr w:type="spellStart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файрволов</w:t>
            </w:r>
            <w:proofErr w:type="spellEnd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следующего поколения с возможностью возврата изменений к предыдущим версиям ревизий.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2.4. </w:t>
            </w:r>
            <w:r w:rsidR="00467F78" w:rsidRPr="00B41E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должно обеспечивать функционал Централизованной Корреляции событий и Отчетов. 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ru-RU" w:bidi="ar-SA"/>
              </w:rPr>
              <w:t>2.4.1.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иметь возможность корреляции событий из всех приложений, включая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Firewall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IPSEC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VPN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IPS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Идентификация пользователей, Мобильный доступ, Управление приложениями,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URL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-фильтрация,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proofErr w:type="spellStart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Bot</w:t>
            </w:r>
            <w:proofErr w:type="spellEnd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Anti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Virus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Sandboxing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2.4.2.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включать инструмент для корреляции событий из всех функций шлюза и сторонних устройств.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2.4.3.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Приложение корреляции событий должно обеспечивать графическое представление событий на основе времени.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2.4.4.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включать возможность поиска внутри списка событий, углубления в детали для изучения и расследования инцидентов. 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2.4.5.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включать предопределенные ежечасные, ежедневные, еженедельные и ежемесячные отчеты, в том числе, как минимум, Основные события, Основные источники, Основные пункты назначения, Основные сервисы, Основные источники и их основные события, Основные пункты назначения и их основные события, и Основные сервисы, и их основные события.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2.4.6.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поддерживать автоматическое распространение отчетов по электронной почте, загрузку на 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</w:rPr>
              <w:t>FTP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Веб-сервер</w:t>
            </w:r>
            <w:proofErr w:type="spellEnd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скрипт</w:t>
            </w:r>
            <w:proofErr w:type="spellEnd"/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рассылки внешних пользовательских отчетов. </w:t>
            </w:r>
          </w:p>
          <w:p w:rsidR="00467F78" w:rsidRPr="00B41E17" w:rsidRDefault="00B41E17" w:rsidP="00B41E17">
            <w:pPr>
              <w:tabs>
                <w:tab w:val="left" w:pos="360"/>
                <w:tab w:val="left" w:pos="162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2.4.7.</w:t>
            </w:r>
            <w:r w:rsidR="00467F78" w:rsidRPr="00B41E17">
              <w:rPr>
                <w:rFonts w:ascii="Times New Roman" w:hAnsi="Times New Roman"/>
                <w:sz w:val="24"/>
                <w:szCs w:val="24"/>
              </w:rPr>
              <w:t>Решение должно обеспечивать функционал управления рисками и соответствия требованиям (GRC) – лучших практик безопасности.</w:t>
            </w:r>
          </w:p>
          <w:p w:rsidR="00467F78" w:rsidRPr="00B41E17" w:rsidRDefault="00B41E17" w:rsidP="00B41E17">
            <w:pPr>
              <w:tabs>
                <w:tab w:val="left" w:pos="360"/>
                <w:tab w:val="left" w:pos="162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2.4.8.</w:t>
            </w:r>
            <w:r w:rsidR="00467F78" w:rsidRPr="00B41E17">
              <w:rPr>
                <w:rFonts w:ascii="Times New Roman" w:hAnsi="Times New Roman"/>
                <w:sz w:val="24"/>
                <w:szCs w:val="24"/>
              </w:rPr>
              <w:t xml:space="preserve">Решение должно обеспечивать оценку соблюдения основных регуляторных требований в режиме реального времени (поддержка стандартов ISO 27001/27002, PCI-DSS, </w:t>
            </w:r>
            <w:proofErr w:type="spellStart"/>
            <w:r w:rsidR="00467F78" w:rsidRPr="00B41E17">
              <w:rPr>
                <w:rFonts w:ascii="Times New Roman" w:hAnsi="Times New Roman"/>
                <w:sz w:val="24"/>
                <w:szCs w:val="24"/>
              </w:rPr>
              <w:t>HiPPA</w:t>
            </w:r>
            <w:proofErr w:type="spellEnd"/>
            <w:r w:rsidR="00467F78" w:rsidRPr="00B41E17">
              <w:rPr>
                <w:rFonts w:ascii="Times New Roman" w:hAnsi="Times New Roman"/>
                <w:sz w:val="24"/>
                <w:szCs w:val="24"/>
              </w:rPr>
              <w:t>, SOX и т.д.).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2.4.9.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Решение должно предоставлять рекомендации по реализации лучших практик безопасности. 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2.4.10.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переводить регуляторные требования в инструкции для выполнения лучших практик безопасности.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2.4.11.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постоянно контролировать конфигурацию шлюза при помощи лучших практик безопасности.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2.4.12.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генерировать автоматические отчеты по оценке для определения рейтинга соответствия регуляторным требованиям.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2.4.13.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полностью интегрироваться в Архитектуру программного обеспечения и Инфраструктуру управления.</w:t>
            </w:r>
          </w:p>
          <w:p w:rsidR="00467F78" w:rsidRPr="00467F78" w:rsidRDefault="00B41E17" w:rsidP="00B41E17">
            <w:pPr>
              <w:pStyle w:val="Bullets"/>
              <w:tabs>
                <w:tab w:val="clear" w:pos="270"/>
                <w:tab w:val="left" w:pos="360"/>
              </w:tabs>
              <w:spacing w:after="0" w:line="240" w:lineRule="exact"/>
              <w:ind w:left="0"/>
              <w:jc w:val="both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2.4.14.</w:t>
            </w:r>
            <w:r w:rsidR="00467F78" w:rsidRPr="00467F7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Решение должно обеспечивать мгновенное уведомление об изменениях политики, влияющих на соответствие регуляторным требованиям.</w:t>
            </w:r>
          </w:p>
          <w:p w:rsidR="00467F78" w:rsidRPr="00467F78" w:rsidRDefault="00B41E17" w:rsidP="00B41E17">
            <w:pPr>
              <w:tabs>
                <w:tab w:val="left" w:pos="162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="00467F78" w:rsidRPr="00467F78">
              <w:rPr>
                <w:rFonts w:ascii="Times New Roman" w:hAnsi="Times New Roman"/>
                <w:sz w:val="24"/>
                <w:szCs w:val="24"/>
              </w:rPr>
              <w:t>Технические требования к с</w:t>
            </w:r>
            <w:proofErr w:type="spellStart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>истеме</w:t>
            </w:r>
            <w:proofErr w:type="spellEnd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>централизованного</w:t>
            </w:r>
            <w:proofErr w:type="spellEnd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>управления</w:t>
            </w:r>
            <w:proofErr w:type="spellEnd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>безопасностью</w:t>
            </w:r>
            <w:proofErr w:type="spellEnd"/>
            <w:r w:rsidR="00467F78" w:rsidRPr="00467F7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467F78" w:rsidRPr="00467F78" w:rsidRDefault="00B41E17" w:rsidP="00B41E17">
            <w:pPr>
              <w:tabs>
                <w:tab w:val="left" w:pos="1620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2.5.1.</w:t>
            </w:r>
            <w:r w:rsidR="00467F78" w:rsidRPr="00467F78">
              <w:rPr>
                <w:rFonts w:ascii="Times New Roman" w:hAnsi="Times New Roman"/>
                <w:sz w:val="24"/>
                <w:szCs w:val="24"/>
              </w:rPr>
              <w:t>Система централизованного управления безопасностью должна быть выполнена в виде программно-аппаратного комплекса со следующими характеристиками: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>2.5.1.1.</w:t>
            </w:r>
            <w:r w:rsidR="00467F78" w:rsidRPr="00467F78">
              <w:t>Не менее 6 ядер CPU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>2.5.1.2.</w:t>
            </w:r>
            <w:r w:rsidR="00467F78" w:rsidRPr="00467F78">
              <w:t>Не менее 2 Тб HDD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>2.5.1.3.</w:t>
            </w:r>
            <w:r w:rsidR="00467F78" w:rsidRPr="00467F78">
              <w:t>Не менее 16 ГБ ОЗУ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>2.5.1.4.</w:t>
            </w:r>
            <w:r w:rsidR="00467F78" w:rsidRPr="00467F78">
              <w:t>Не менее 10 интерфейсов 1 Гбит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>2.5.1.5.</w:t>
            </w:r>
            <w:r w:rsidR="00467F78" w:rsidRPr="00467F78">
              <w:t>Не менее 2 портов USB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>2.5.1.6.</w:t>
            </w:r>
            <w:r w:rsidR="00467F78" w:rsidRPr="00467F78">
              <w:t>Возможность обработки не менее 70 000 логов в секунду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>2.5.1.7.</w:t>
            </w:r>
            <w:r w:rsidR="00467F78" w:rsidRPr="00467F78">
              <w:t>Возможность индексации не менее 6000 логов в секунду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</w:pPr>
            <w:r>
              <w:t xml:space="preserve">2.6. </w:t>
            </w:r>
            <w:r w:rsidR="00467F78" w:rsidRPr="00467F78">
              <w:t>Поддержка и подписка: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  <w:jc w:val="both"/>
            </w:pPr>
            <w:r>
              <w:t xml:space="preserve">2.6.1. </w:t>
            </w:r>
            <w:r w:rsidR="00467F78" w:rsidRPr="00467F78">
              <w:t xml:space="preserve">поддержка и подписка сроком на 1 год от производителя, 9х5; </w:t>
            </w:r>
          </w:p>
          <w:p w:rsidR="00467F78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  <w:jc w:val="both"/>
            </w:pPr>
            <w:r>
              <w:t>2.6.2.</w:t>
            </w:r>
            <w:r w:rsidR="00467F78" w:rsidRPr="00467F78">
              <w:t xml:space="preserve">гарантийная замена оборудования; </w:t>
            </w:r>
          </w:p>
          <w:p w:rsidR="008D3D30" w:rsidRPr="00467F78" w:rsidRDefault="00B41E17" w:rsidP="00B41E17">
            <w:pPr>
              <w:pStyle w:val="ab"/>
              <w:tabs>
                <w:tab w:val="clear" w:pos="4677"/>
                <w:tab w:val="clear" w:pos="9355"/>
                <w:tab w:val="left" w:pos="1620"/>
                <w:tab w:val="center" w:pos="4320"/>
                <w:tab w:val="right" w:pos="8640"/>
              </w:tabs>
              <w:spacing w:line="240" w:lineRule="exact"/>
              <w:jc w:val="both"/>
            </w:pPr>
            <w:r>
              <w:t>2.6.3.</w:t>
            </w:r>
            <w:r w:rsidR="00467F78" w:rsidRPr="00467F78">
              <w:t>должны быть включены все необходимые подписки на сервисы безопасности.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9915D9" w:rsidRDefault="00D50FDD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26.20.30.400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D50FDD" w:rsidRDefault="00D50FDD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FDD">
              <w:rPr>
                <w:rFonts w:ascii="Times New Roman" w:hAnsi="Times New Roman" w:cs="Times New Roman"/>
                <w:sz w:val="24"/>
                <w:szCs w:val="24"/>
              </w:rPr>
              <w:t>Устройство защиты информации</w:t>
            </w:r>
          </w:p>
        </w:tc>
      </w:tr>
      <w:tr w:rsidR="004960F0" w:rsidRPr="00CA519A" w:rsidTr="00D50FDD">
        <w:trPr>
          <w:trHeight w:val="920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4960F0" w:rsidRPr="008D3D30" w:rsidRDefault="002A10FC" w:rsidP="00D50FD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D50FDD">
              <w:rPr>
                <w:rFonts w:ascii="Times New Roman" w:hAnsi="Times New Roman"/>
                <w:sz w:val="24"/>
                <w:szCs w:val="24"/>
              </w:rPr>
              <w:t>6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742B02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поставщика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="00E73AA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D50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DD">
              <w:rPr>
                <w:rFonts w:ascii="Times New Roman" w:hAnsi="Times New Roman" w:cs="Times New Roman"/>
                <w:sz w:val="24"/>
                <w:szCs w:val="24"/>
              </w:rPr>
              <w:t>290 000,00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D50FDD">
        <w:trPr>
          <w:trHeight w:val="908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D910A9" w:rsidRDefault="00DD5067" w:rsidP="00D50FDD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</w:t>
            </w:r>
            <w:r w:rsidR="00D50FDD">
              <w:rPr>
                <w:rFonts w:ascii="Times New Roman" w:hAnsi="Times New Roman"/>
                <w:sz w:val="24"/>
                <w:szCs w:val="24"/>
              </w:rPr>
              <w:t>подключение, настройка, налоги, таможенные пошлины и другие обязательные платежи</w:t>
            </w:r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A1A" w:rsidRDefault="004960F0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50FD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AB" w:rsidRPr="004960F0" w:rsidRDefault="00AE7A1A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сервисного обслуживания на территории РБ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или с учетом территориального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D50FDD">
              <w:rPr>
                <w:rFonts w:ascii="Times New Roman" w:hAnsi="Times New Roman"/>
                <w:b/>
                <w:sz w:val="24"/>
                <w:szCs w:val="24"/>
              </w:rPr>
              <w:t>межсетевого экрана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742B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="00D50F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E73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09</w:t>
            </w:r>
            <w:r w:rsidR="005D3F00" w:rsidRPr="005D3F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742B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E73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1. Заявление участника о наличии сервисного центра для гарантийного и послегарантийного обслуживания на территории РБ</w:t>
            </w:r>
            <w:r w:rsidRPr="00D50FDD">
              <w:rPr>
                <w:rFonts w:ascii="Times New Roman" w:eastAsia="MS Minngs" w:hAnsi="Times New Roman"/>
                <w:sz w:val="24"/>
                <w:szCs w:val="24"/>
              </w:rPr>
              <w:t>, осуществляющего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фирмы-производителя.</w:t>
            </w:r>
          </w:p>
          <w:p w:rsidR="00D50FDD" w:rsidRPr="00D50FDD" w:rsidRDefault="00D50FDD" w:rsidP="00D50FDD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F734D">
              <w:rPr>
                <w:rFonts w:ascii="Times New Roman" w:hAnsi="Times New Roman"/>
                <w:sz w:val="24"/>
                <w:szCs w:val="24"/>
              </w:rPr>
              <w:t xml:space="preserve">Заявление о </w:t>
            </w:r>
            <w:r w:rsidR="00BE04B2">
              <w:rPr>
                <w:rFonts w:ascii="Times New Roman" w:hAnsi="Times New Roman"/>
                <w:sz w:val="24"/>
                <w:szCs w:val="24"/>
              </w:rPr>
              <w:t xml:space="preserve">гарантии </w:t>
            </w:r>
            <w:r w:rsidR="00DF734D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 xml:space="preserve">сертификата соответствия </w:t>
            </w:r>
            <w:r w:rsidRPr="00D50F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 защиты информации и продукции по требованиям безопасности информации (товар должен быть включен в Реестр средств защиты информации, прошедших  сертификацию ОАЦ)</w:t>
            </w:r>
            <w:r w:rsidR="00FE20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поставке оборудования.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Заявление о </w:t>
            </w:r>
            <w:r w:rsidR="00BE04B2">
              <w:rPr>
                <w:rFonts w:ascii="Times New Roman" w:hAnsi="Times New Roman"/>
                <w:sz w:val="24"/>
                <w:szCs w:val="24"/>
              </w:rPr>
              <w:t xml:space="preserve">гарантии 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FE2096" w:rsidRP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к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>опи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й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 xml:space="preserve"> деклараций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 при поставке оборудования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D50FD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D50FDD">
              <w:rPr>
                <w:rFonts w:ascii="Times New Roman" w:hAnsi="Times New Roman"/>
                <w:sz w:val="24"/>
                <w:szCs w:val="24"/>
              </w:rPr>
              <w:t xml:space="preserve"> 2013/027/BY  («Информационные технологии. Средства защиты информации. </w:t>
            </w:r>
            <w:proofErr w:type="gramStart"/>
            <w:r w:rsidRPr="00D50FDD">
              <w:rPr>
                <w:rFonts w:ascii="Times New Roman" w:hAnsi="Times New Roman"/>
                <w:sz w:val="24"/>
                <w:szCs w:val="24"/>
              </w:rPr>
              <w:t xml:space="preserve">Информационная безопасность»), </w:t>
            </w:r>
            <w:proofErr w:type="gramEnd"/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50FDD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D50FDD">
              <w:rPr>
                <w:rFonts w:ascii="Times New Roman" w:hAnsi="Times New Roman"/>
                <w:sz w:val="24"/>
                <w:szCs w:val="24"/>
              </w:rPr>
              <w:t xml:space="preserve"> 2018/024/BY (СТБ 2156–2020 «Средства электросвязи </w:t>
            </w:r>
            <w:proofErr w:type="spellStart"/>
            <w:r w:rsidRPr="00D50FDD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D50FDD">
              <w:rPr>
                <w:rFonts w:ascii="Times New Roman" w:hAnsi="Times New Roman"/>
                <w:sz w:val="24"/>
                <w:szCs w:val="24"/>
              </w:rPr>
              <w:t xml:space="preserve"> сетей. </w:t>
            </w:r>
            <w:proofErr w:type="gramStart"/>
            <w:r w:rsidRPr="00D50FDD">
              <w:rPr>
                <w:rFonts w:ascii="Times New Roman" w:hAnsi="Times New Roman"/>
                <w:sz w:val="24"/>
                <w:szCs w:val="24"/>
              </w:rPr>
              <w:t>Основные параметры и характеристики»)</w:t>
            </w:r>
            <w:proofErr w:type="gramEnd"/>
          </w:p>
          <w:p w:rsidR="00D50FDD" w:rsidRPr="00D50FDD" w:rsidRDefault="00D50FDD" w:rsidP="00D50FDD">
            <w:pPr>
              <w:pStyle w:val="Bullets"/>
              <w:tabs>
                <w:tab w:val="clear" w:pos="270"/>
                <w:tab w:val="left" w:pos="360"/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0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D50FDD">
              <w:rPr>
                <w:rFonts w:ascii="Times New Roman" w:hAnsi="Times New Roman"/>
                <w:sz w:val="24"/>
                <w:szCs w:val="24"/>
                <w:lang w:val="ru-RU"/>
              </w:rPr>
              <w:t>ТР</w:t>
            </w:r>
            <w:proofErr w:type="gramEnd"/>
            <w:r w:rsidRPr="00D50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2013/027/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>BY</w:t>
            </w:r>
            <w:r w:rsidRPr="00D50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(СТБ 34.101.74-2017 «Информационные технологии. Системы сбора и обработки данных событий информационной безопасности. </w:t>
            </w:r>
            <w:proofErr w:type="gramStart"/>
            <w:r w:rsidRPr="00D50FDD">
              <w:rPr>
                <w:rFonts w:ascii="Times New Roman" w:hAnsi="Times New Roman"/>
                <w:sz w:val="24"/>
                <w:szCs w:val="24"/>
                <w:lang w:val="ru-RU"/>
              </w:rPr>
              <w:t>Общие требования» (пункт 7.3)).</w:t>
            </w:r>
            <w:proofErr w:type="gramEnd"/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4. Копия свидетельства регистрации юридического лица.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50F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закупках, не имеет задолженности по уплате налогов.</w:t>
            </w:r>
          </w:p>
          <w:p w:rsidR="00D50FDD" w:rsidRPr="00D50FDD" w:rsidRDefault="00D50FDD" w:rsidP="00D50FD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6.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</w:p>
          <w:p w:rsidR="00D50FDD" w:rsidRPr="00D50FDD" w:rsidRDefault="00D50FDD" w:rsidP="00D50FD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7. Документ, подтверждающий страну происхождения товара (для выполнения п. 15 Задания на закупку).</w:t>
            </w:r>
          </w:p>
          <w:p w:rsidR="004960F0" w:rsidRPr="00EC27E6" w:rsidRDefault="00EC27E6" w:rsidP="00D50FD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FE2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73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E73AAB" w:rsidP="00E73A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E2096" w:rsidRPr="00DA09AF" w:rsidRDefault="00FE2096" w:rsidP="00FE209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FE2096" w:rsidRDefault="00FE2096" w:rsidP="00FE209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0,1 следующим образом:</w:t>
            </w:r>
          </w:p>
          <w:p w:rsidR="00FE2096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FE2096" w:rsidRPr="004E1FDC" w:rsidRDefault="00FE2096" w:rsidP="00FE20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96" w:rsidRPr="004A7A04" w:rsidRDefault="00FE2096" w:rsidP="00FE20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E73AA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FE2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E73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Pr="00DB690E" w:rsidRDefault="00E73AAB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D3F0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2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19"/>
  </w:num>
  <w:num w:numId="5">
    <w:abstractNumId w:val="0"/>
  </w:num>
  <w:num w:numId="6">
    <w:abstractNumId w:val="24"/>
  </w:num>
  <w:num w:numId="7">
    <w:abstractNumId w:val="16"/>
  </w:num>
  <w:num w:numId="8">
    <w:abstractNumId w:val="17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5"/>
  </w:num>
  <w:num w:numId="18">
    <w:abstractNumId w:val="25"/>
  </w:num>
  <w:num w:numId="19">
    <w:abstractNumId w:val="22"/>
  </w:num>
  <w:num w:numId="20">
    <w:abstractNumId w:val="21"/>
  </w:num>
  <w:num w:numId="21">
    <w:abstractNumId w:val="26"/>
  </w:num>
  <w:num w:numId="22">
    <w:abstractNumId w:val="15"/>
  </w:num>
  <w:num w:numId="23">
    <w:abstractNumId w:val="10"/>
  </w:num>
  <w:num w:numId="24">
    <w:abstractNumId w:val="14"/>
  </w:num>
  <w:num w:numId="25">
    <w:abstractNumId w:val="27"/>
  </w:num>
  <w:num w:numId="26">
    <w:abstractNumId w:val="9"/>
  </w:num>
  <w:num w:numId="27">
    <w:abstractNumId w:val="1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929AC"/>
    <w:rsid w:val="0009462D"/>
    <w:rsid w:val="000975B7"/>
    <w:rsid w:val="000B373B"/>
    <w:rsid w:val="000C0527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C7B64"/>
    <w:rsid w:val="002D1E00"/>
    <w:rsid w:val="002D483F"/>
    <w:rsid w:val="002D6C76"/>
    <w:rsid w:val="002F2E6F"/>
    <w:rsid w:val="002F65B7"/>
    <w:rsid w:val="00320E5D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67F78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41E17"/>
    <w:rsid w:val="00B64A6A"/>
    <w:rsid w:val="00BA162C"/>
    <w:rsid w:val="00BA1B5A"/>
    <w:rsid w:val="00BB1FDD"/>
    <w:rsid w:val="00BB36DB"/>
    <w:rsid w:val="00BB7289"/>
    <w:rsid w:val="00BC63D0"/>
    <w:rsid w:val="00BD7045"/>
    <w:rsid w:val="00BE04B2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50FDD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A2074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  <w:rsid w:val="00FE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ckpoint.com/products/softwareblades/logging-stat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13</Pages>
  <Words>5790</Words>
  <Characters>33006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112</cp:revision>
  <cp:lastPrinted>2022-07-15T11:49:00Z</cp:lastPrinted>
  <dcterms:created xsi:type="dcterms:W3CDTF">2019-03-27T06:23:00Z</dcterms:created>
  <dcterms:modified xsi:type="dcterms:W3CDTF">2022-09-15T08:03:00Z</dcterms:modified>
</cp:coreProperties>
</file>