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322F8C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322F8C" w:rsidRDefault="00A03BFC" w:rsidP="00322F8C">
      <w:pPr>
        <w:tabs>
          <w:tab w:val="left" w:pos="578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9915D9">
        <w:rPr>
          <w:rFonts w:ascii="Times New Roman" w:hAnsi="Times New Roman"/>
          <w:b/>
          <w:sz w:val="28"/>
          <w:szCs w:val="28"/>
        </w:rPr>
        <w:t>двухкрасочной офсетной печатной машины</w:t>
      </w:r>
    </w:p>
    <w:p w:rsidR="00BE162D" w:rsidRPr="00EB74DE" w:rsidRDefault="00985463" w:rsidP="00322F8C">
      <w:pPr>
        <w:tabs>
          <w:tab w:val="left" w:pos="5785"/>
        </w:tabs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/у (не старше </w:t>
      </w:r>
      <w:r w:rsidR="00322F8C">
        <w:rPr>
          <w:rFonts w:ascii="Times New Roman" w:hAnsi="Times New Roman"/>
          <w:b/>
          <w:sz w:val="28"/>
          <w:szCs w:val="28"/>
        </w:rPr>
        <w:t>1998</w:t>
      </w:r>
      <w:r>
        <w:rPr>
          <w:rFonts w:ascii="Times New Roman" w:hAnsi="Times New Roman"/>
          <w:b/>
          <w:sz w:val="28"/>
          <w:szCs w:val="28"/>
        </w:rPr>
        <w:t>гв))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322F8C" w:rsidRDefault="00322F8C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322F8C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98546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A349C1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A349C1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322F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322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31.01.2023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D64AEB" w:rsidRDefault="002A10FC" w:rsidP="007C41AF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="009915D9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двухкрасочная офсетная печатная  машина</w:t>
            </w:r>
            <w:r w:rsidR="007C41AF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(б/у (не старше </w:t>
            </w:r>
            <w:r w:rsidR="00322F8C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1998</w:t>
            </w:r>
            <w:r w:rsidR="007C41AF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гв)</w:t>
            </w:r>
            <w:proofErr w:type="gramEnd"/>
          </w:p>
          <w:p w:rsidR="004960F0" w:rsidRPr="002A10FC" w:rsidRDefault="008D5039" w:rsidP="0032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>доставка, упаковка, маркировка, пуско-наладочные работы, обучение персонала (не менее двух человек) работе на оборудовании</w:t>
            </w:r>
            <w:r w:rsidR="00322F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осмотр машины</w:t>
            </w:r>
            <w:r w:rsidR="00322F8C">
              <w:t xml:space="preserve"> </w:t>
            </w:r>
            <w:r w:rsidR="00322F8C" w:rsidRPr="00430B07">
              <w:rPr>
                <w:rFonts w:ascii="Times New Roman" w:hAnsi="Times New Roman"/>
                <w:sz w:val="24"/>
                <w:szCs w:val="24"/>
                <w:lang w:eastAsia="ru-RU"/>
              </w:rPr>
              <w:t>в работе с получением печатной продукции 2+0, 1+1 на бумаге плотностью 50-60г/м</w:t>
            </w:r>
            <w:proofErr w:type="gramStart"/>
            <w:r w:rsidR="00322F8C" w:rsidRPr="00430B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322F8C" w:rsidRPr="0043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количестве 3000-5000 печатных листов с рабочей скоростью 10000отт./час.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322F8C" w:rsidRDefault="009915D9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915D9" w:rsidRPr="00322F8C" w:rsidRDefault="009915D9" w:rsidP="0032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322F8C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322F8C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- двухкрасочная офсетная печатная машина;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- комплект сменных поддонов стола самонаклада (на колесиках);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- комплект сменных поддонов приемно-выводного устройства (на колесиках);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 xml:space="preserve">- устройство для пробивки штифтовых отверстий </w:t>
            </w:r>
          </w:p>
          <w:p w:rsidR="009915D9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- работы, услуги, комплект эксплуатационной и технической документации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322F8C" w:rsidRDefault="008D3D30" w:rsidP="00322F8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322F8C" w:rsidRPr="00322F8C" w:rsidRDefault="00322F8C" w:rsidP="00322F8C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Конструктивные, технические и технологические требования к оборудованию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 xml:space="preserve">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изготовленное одним производителем. 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 – </w:t>
            </w:r>
            <w:proofErr w:type="gramStart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двухкрасочная</w:t>
            </w:r>
            <w:proofErr w:type="gramEnd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(1+1, 2+0).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Формат бумаги: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мах, </w:t>
            </w:r>
            <w:proofErr w:type="gramStart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от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660</w:t>
            </w:r>
            <w:r w:rsidRPr="00322F8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480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760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>540;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min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- не более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</w:rPr>
              <w:t>420.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бумаги от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0,04 до 0,3</w:t>
            </w:r>
            <w:r w:rsidRPr="00322F8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Плотность стандартных запечатываемых материалов - 40-300 г/м</w:t>
            </w:r>
            <w:proofErr w:type="gramStart"/>
            <w:r w:rsidRPr="00322F8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Производительность, листов/час - не менее 12000.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1.6.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Подача бумаги - по широкой стороне.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1.7.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Высота стапеля самонаклада не менее 800 мм.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1.8.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Высота стапеля приемки не менее 400 мм.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1.9.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Толщина офсетного полотна - 1,9 мм.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1.10.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Антикоррозийное покрытие формного и офсетного цилиндров.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1.11.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Бесступенчатое регулирование скорости.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1.12.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самонаклада – каскадный.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1.13.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Счетчик предварительной </w:t>
            </w:r>
            <w:proofErr w:type="gramStart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установки/отмены величины тиража продукции</w:t>
            </w:r>
            <w:proofErr w:type="gramEnd"/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1.14.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Функция отключения подачи краски и выключения натиска при отсутствии бумаги.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1.15.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переворота листа.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1.16.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смывки офсетных и печатных цилиндров с подачей смывочного раствора на смывочное полотно.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1.17.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 смены печатных форм.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1.18.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 пробивки штифтовых отверстий в форме, наличие в комплекте поставки устройства для пробивки штифтовых отверстий.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1.19.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переключение на режим двухсторонней печати.</w:t>
            </w:r>
            <w:r w:rsidRPr="00322F8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1.20.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циркуляции увлажняющего раствора с охлаждением.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1.21.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Датчик контроля предельной высоты стопы в приемно-выводном устройстве.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1.22.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контроля двойного листа.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1.23.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Осмотр технического состояния оборудования в работе по месту продажи – обязательно. Обеспечить осмотр машины в работе с получением печатной продукции 2+0, 1+1 на бумаге плотностью 50-60г/м</w:t>
            </w:r>
            <w:proofErr w:type="gramStart"/>
            <w:r w:rsidRPr="00322F8C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количестве 3000-5000 печатных листов с рабочей скоростью 10000отт./час. Краска, бумага предоставляется продавцом.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1.24.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Монтаж, пусконаладочные работы и обучение работе обслуживающего персонала обязательно.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1.25. </w:t>
            </w:r>
            <w:r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Каталог деталей и сборочных единиц на бумажном носителе - желательно.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1.26.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напряжения электропитания: 380В, 50Гц.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1.27.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Степень защиты электрооборудования – не ниже </w:t>
            </w:r>
            <w:r w:rsidRPr="00322F8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IP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54.</w:t>
            </w:r>
          </w:p>
          <w:p w:rsid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1.28. </w:t>
            </w:r>
            <w:r w:rsidRPr="00322F8C">
              <w:rPr>
                <w:rFonts w:ascii="Times New Roman" w:hAnsi="Times New Roman"/>
                <w:sz w:val="24"/>
                <w:szCs w:val="24"/>
                <w:lang w:eastAsia="ru-RU"/>
              </w:rPr>
              <w:t>Номинальная мощность электрооборудования: не более 12 кВт.</w:t>
            </w:r>
          </w:p>
          <w:p w:rsidR="00322F8C" w:rsidRPr="00322F8C" w:rsidRDefault="00322F8C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2F8C" w:rsidRPr="00322F8C" w:rsidRDefault="00322F8C" w:rsidP="00322F8C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Требования к электронным компонентам и средствам измерения</w:t>
            </w:r>
          </w:p>
          <w:p w:rsidR="00322F8C" w:rsidRPr="00322F8C" w:rsidRDefault="00322F8C" w:rsidP="00322F8C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 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 Пароли доступа должны быть статические, без ограничения срока действия;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 xml:space="preserve"> Для 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переустановки рабочих программ (образов) </w:t>
            </w:r>
            <w:r w:rsidRPr="00322F8C"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обеспечить наличие в комплекте поставки оборудования (</w:t>
            </w:r>
            <w:r w:rsidRPr="00322F8C">
              <w:rPr>
                <w:rFonts w:ascii="Times New Roman" w:hAnsi="Times New Roman"/>
                <w:i/>
                <w:iCs/>
                <w:sz w:val="24"/>
                <w:szCs w:val="24"/>
              </w:rPr>
              <w:t>опционально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): 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2.3.1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 Рабочих программ (проектов в виде файлов с расширением соответствующим </w:t>
            </w:r>
            <w:proofErr w:type="gramStart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ПО) на электронном носителе;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2.3.2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Программного обеспечения (</w:t>
            </w:r>
            <w:proofErr w:type="gramStart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proofErr w:type="gramStart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записи рабочих программ в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, устанавливаемого на персональные компьютеры с ОС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2.3.3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Соединительных кабелей для подключения персонального компьютера к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с необходимыми драйверами для ОС </w:t>
            </w:r>
            <w:r w:rsidRPr="00322F8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322F8C" w:rsidRPr="00322F8C" w:rsidRDefault="00322F8C" w:rsidP="00322F8C">
            <w:pPr>
              <w:spacing w:after="0" w:line="240" w:lineRule="exact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 Для частотных приводов, сервоконтроллеров, сервоприводов, других программируемых устройств (согласно спецификации поставляемого оборудования) обеспечить наличие рабочих программ (</w:t>
            </w:r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проектов в виде файлов с расширением соответствующим </w:t>
            </w:r>
            <w:proofErr w:type="gramStart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322F8C">
              <w:rPr>
                <w:rFonts w:ascii="Times New Roman" w:hAnsi="Times New Roman"/>
                <w:iCs/>
                <w:sz w:val="24"/>
                <w:szCs w:val="24"/>
              </w:rPr>
              <w:t xml:space="preserve"> ПО для программирования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), настроечных таблиц и параметров на электронном носителе (</w:t>
            </w:r>
            <w:r w:rsidRPr="00322F8C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).</w:t>
            </w:r>
            <w:r w:rsidRPr="00322F8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322F8C" w:rsidRDefault="00322F8C" w:rsidP="00322F8C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2.5 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322F8C" w:rsidRPr="00322F8C" w:rsidRDefault="00322F8C" w:rsidP="00322F8C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F8C" w:rsidRPr="00322F8C" w:rsidRDefault="00322F8C" w:rsidP="00322F8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3.</w:t>
            </w:r>
            <w:r w:rsidRPr="00322F8C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322F8C" w:rsidRPr="00322F8C" w:rsidRDefault="00322F8C" w:rsidP="00322F8C">
            <w:pPr>
              <w:pStyle w:val="ac"/>
              <w:tabs>
                <w:tab w:val="left" w:pos="222"/>
                <w:tab w:val="left" w:pos="432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 xml:space="preserve">Наличие автоматических блокировок, ограждений, приспособлений, для обеспечения безаварийной и безопасной работы оборудования в полном соответствии с эксплуатационными документами. </w:t>
            </w:r>
          </w:p>
          <w:p w:rsidR="00322F8C" w:rsidRPr="00322F8C" w:rsidRDefault="00322F8C" w:rsidP="00322F8C">
            <w:pPr>
              <w:pStyle w:val="ac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Доступность осмотра, ремонта, санитарной обработки оборудования.</w:t>
            </w:r>
          </w:p>
          <w:p w:rsidR="00322F8C" w:rsidRPr="00322F8C" w:rsidRDefault="00322F8C" w:rsidP="00322F8C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.1.4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Уровень шума на рабочих местах при любом режиме работы оборудования не более 80 дБ.</w:t>
            </w:r>
          </w:p>
          <w:p w:rsidR="00322F8C" w:rsidRPr="00322F8C" w:rsidRDefault="00322F8C" w:rsidP="00322F8C">
            <w:pPr>
              <w:pStyle w:val="ac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61D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2F8C">
              <w:rPr>
                <w:rFonts w:ascii="Times New Roman" w:hAnsi="Times New Roman"/>
                <w:sz w:val="24"/>
                <w:szCs w:val="24"/>
              </w:rPr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322F8C" w:rsidRPr="00322F8C" w:rsidRDefault="00061D83" w:rsidP="00322F8C">
            <w:pPr>
              <w:pStyle w:val="ac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061D83" w:rsidRDefault="00061D83" w:rsidP="00322F8C">
            <w:pPr>
              <w:pStyle w:val="ac"/>
              <w:tabs>
                <w:tab w:val="left" w:pos="567"/>
                <w:tab w:val="left" w:pos="1134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22F8C" w:rsidRPr="00322F8C" w:rsidRDefault="00061D83" w:rsidP="00322F8C">
            <w:pPr>
              <w:pStyle w:val="ac"/>
              <w:tabs>
                <w:tab w:val="left" w:pos="567"/>
                <w:tab w:val="left" w:pos="1134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</w:t>
            </w:r>
            <w:r w:rsidR="00322F8C"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Требования к поставляемой с оборудованием документации</w:t>
            </w:r>
          </w:p>
          <w:p w:rsidR="00322F8C" w:rsidRPr="00322F8C" w:rsidRDefault="00322F8C" w:rsidP="00322F8C">
            <w:pPr>
              <w:tabs>
                <w:tab w:val="left" w:pos="1134"/>
              </w:tabs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322F8C" w:rsidRPr="00322F8C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  <w:r w:rsidR="00322F8C" w:rsidRPr="00322F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Руководство по эксплуатации и обслуживанию оборудования на русском языке, на бумажном носителе.</w:t>
            </w:r>
          </w:p>
          <w:p w:rsidR="00322F8C" w:rsidRPr="00322F8C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 xml:space="preserve">Схемы электрические, пневматические, гидравлические, схемы </w:t>
            </w:r>
            <w:r w:rsidR="00322F8C" w:rsidRPr="00322F8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&amp;</w:t>
            </w:r>
            <w:r w:rsidR="00322F8C" w:rsidRPr="00322F8C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 xml:space="preserve"> на русском языке (подробные, со всеми электронными компонентами в соответствии с поставляемым оборудованием).</w:t>
            </w:r>
          </w:p>
          <w:p w:rsidR="00061D83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 w:rsidR="00322F8C" w:rsidRPr="00322F8C">
              <w:rPr>
                <w:rFonts w:ascii="Times New Roman" w:hAnsi="Times New Roman"/>
                <w:sz w:val="24"/>
                <w:szCs w:val="24"/>
              </w:rPr>
              <w:t>паспорта</w:t>
            </w:r>
            <w:proofErr w:type="gramEnd"/>
            <w:r w:rsidR="00322F8C" w:rsidRPr="00322F8C">
              <w:rPr>
                <w:rFonts w:ascii="Times New Roman" w:hAnsi="Times New Roman"/>
                <w:sz w:val="24"/>
                <w:szCs w:val="24"/>
              </w:rPr>
              <w:t xml:space="preserve"> на все элементы комплектующие на русском или английском языке (</w:t>
            </w:r>
            <w:r w:rsidR="00322F8C" w:rsidRPr="00061D83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2F8C" w:rsidRPr="00322F8C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Каталог деталей и сборочных единиц на бумажном носителе (</w:t>
            </w:r>
            <w:r w:rsidR="00322F8C" w:rsidRPr="00061D83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2F8C" w:rsidRPr="00322F8C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 (</w:t>
            </w:r>
            <w:r w:rsidR="00322F8C" w:rsidRPr="00061D83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2F8C" w:rsidRPr="00322F8C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Перечень сигнализаций аварийных состояний (аварий) с расшифровкой на русском языке и способы их устранения (</w:t>
            </w:r>
            <w:r w:rsidR="00322F8C" w:rsidRPr="00061D83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22F8C" w:rsidRPr="00322F8C" w:rsidRDefault="00061D83" w:rsidP="00061D83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  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Эксплуатационная документация в части обеспечения безопасности должна содержать (</w:t>
            </w:r>
            <w:r w:rsidR="00322F8C" w:rsidRPr="00061D83">
              <w:rPr>
                <w:rFonts w:ascii="Times New Roman" w:hAnsi="Times New Roman"/>
                <w:i/>
                <w:sz w:val="24"/>
                <w:szCs w:val="24"/>
              </w:rPr>
              <w:t>опционально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22F8C" w:rsidRPr="00322F8C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>.7.1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22F8C" w:rsidRPr="00322F8C">
              <w:rPr>
                <w:rFonts w:ascii="Times New Roman" w:hAnsi="Times New Roman"/>
                <w:sz w:val="24"/>
                <w:szCs w:val="24"/>
              </w:rPr>
              <w:t xml:space="preserve">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322F8C" w:rsidRPr="00061D83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4.7.2. </w:t>
            </w:r>
            <w:r w:rsidR="00322F8C" w:rsidRPr="00061D83">
              <w:rPr>
                <w:rFonts w:ascii="Times New Roman" w:hAnsi="Times New Roman"/>
                <w:sz w:val="24"/>
                <w:szCs w:val="24"/>
              </w:rPr>
              <w:t>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322F8C" w:rsidRPr="00061D83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4.7.3. </w:t>
            </w:r>
            <w:r w:rsidR="00322F8C" w:rsidRPr="00061D83">
              <w:rPr>
                <w:rFonts w:ascii="Times New Roman" w:hAnsi="Times New Roman"/>
                <w:sz w:val="24"/>
                <w:szCs w:val="24"/>
              </w:rPr>
              <w:t>Требования к обслуживающему персоналу по использованию средств индивидуальной защиты.</w:t>
            </w:r>
          </w:p>
          <w:p w:rsidR="00322F8C" w:rsidRPr="00061D83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4.7.4. </w:t>
            </w:r>
            <w:proofErr w:type="gramStart"/>
            <w:r w:rsidR="00322F8C" w:rsidRPr="00061D83">
              <w:rPr>
                <w:rFonts w:ascii="Times New Roman" w:hAnsi="Times New Roman"/>
                <w:sz w:val="24"/>
                <w:szCs w:val="24"/>
              </w:rPr>
              <w:t>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  <w:proofErr w:type="gramEnd"/>
          </w:p>
          <w:p w:rsidR="00322F8C" w:rsidRPr="00061D83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4.7.5. </w:t>
            </w:r>
            <w:r w:rsidR="00322F8C" w:rsidRPr="00061D83">
              <w:rPr>
                <w:rFonts w:ascii="Times New Roman" w:hAnsi="Times New Roman"/>
                <w:sz w:val="24"/>
                <w:szCs w:val="24"/>
              </w:rPr>
              <w:t>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322F8C" w:rsidRPr="00061D83" w:rsidRDefault="00061D83" w:rsidP="00061D83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4.7.6. </w:t>
            </w:r>
            <w:r w:rsidR="00322F8C" w:rsidRPr="00061D83">
              <w:rPr>
                <w:rFonts w:ascii="Times New Roman" w:hAnsi="Times New Roman"/>
                <w:sz w:val="24"/>
                <w:szCs w:val="24"/>
              </w:rPr>
              <w:t>Регламент технического обслуживания и приемов его безопасного выполнения.</w:t>
            </w:r>
          </w:p>
          <w:p w:rsidR="008D3D30" w:rsidRPr="00322F8C" w:rsidRDefault="00061D83" w:rsidP="00322F8C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4.7.7. </w:t>
            </w:r>
            <w:r w:rsidR="00322F8C" w:rsidRPr="00061D83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9915D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28.99.13.930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9915D9" w:rsidRDefault="009915D9" w:rsidP="00061D8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>Машины для офсетной печати листовые с форматом листа не более 52</w:t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>74см</w:t>
            </w:r>
          </w:p>
        </w:tc>
      </w:tr>
      <w:tr w:rsidR="004960F0" w:rsidRPr="00CA519A" w:rsidTr="00061D83">
        <w:trPr>
          <w:trHeight w:val="45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061D83" w:rsidRPr="001A1123" w:rsidRDefault="00061D83" w:rsidP="00061D83">
            <w:pPr>
              <w:pStyle w:val="Style7"/>
              <w:widowControl/>
              <w:spacing w:line="240" w:lineRule="exact"/>
              <w:ind w:right="-1" w:firstLine="0"/>
              <w:rPr>
                <w:rStyle w:val="FontStyle16"/>
                <w:sz w:val="24"/>
                <w:szCs w:val="24"/>
              </w:rPr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CIP</w:t>
            </w:r>
            <w:r w:rsidRPr="001A1123">
              <w:rPr>
                <w:rStyle w:val="FontStyle16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DAP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CP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Т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Борисов, </w:t>
            </w:r>
            <w:proofErr w:type="spellStart"/>
            <w:r w:rsidRPr="001A1123">
              <w:t>Инкотермс</w:t>
            </w:r>
            <w:proofErr w:type="spellEnd"/>
            <w:r w:rsidRPr="001A1123">
              <w:t xml:space="preserve"> 2010 (2020)</w:t>
            </w:r>
            <w:r w:rsidRPr="001A1123">
              <w:rPr>
                <w:rStyle w:val="FontStyle16"/>
                <w:sz w:val="24"/>
                <w:szCs w:val="24"/>
              </w:rPr>
              <w:t xml:space="preserve"> – для нерезидентов РБ;</w:t>
            </w:r>
          </w:p>
          <w:p w:rsidR="00061D83" w:rsidRDefault="00061D83" w:rsidP="00061D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 – для резидентов РБ</w:t>
            </w:r>
          </w:p>
          <w:p w:rsidR="004960F0" w:rsidRPr="00061D83" w:rsidRDefault="002A10FC" w:rsidP="00061D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061D83">
              <w:rPr>
                <w:rFonts w:ascii="Times New Roman" w:hAnsi="Times New Roman"/>
                <w:sz w:val="24"/>
                <w:szCs w:val="24"/>
              </w:rPr>
              <w:t>3х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6B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0B2" w:rsidRPr="006B40B2" w:rsidRDefault="006B40B2" w:rsidP="00E73A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6B40B2">
              <w:rPr>
                <w:rFonts w:ascii="Times New Roman" w:hAnsi="Times New Roman"/>
                <w:sz w:val="24"/>
                <w:szCs w:val="24"/>
                <w:lang w:eastAsia="ru-RU"/>
              </w:rPr>
              <w:t>Осмотр технического состояния б/у оборудования в работе по месту продажи – обязательно.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061D8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D83" w:rsidRPr="00061D83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>260 378,80 рублей РБ (в эквиваленте ориентировочно 100 000,00 долл</w:t>
            </w:r>
            <w:proofErr w:type="gramStart"/>
            <w:r w:rsidR="00061D83" w:rsidRPr="00061D83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>.С</w:t>
            </w:r>
            <w:proofErr w:type="gramEnd"/>
            <w:r w:rsidR="00061D83" w:rsidRPr="00061D83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>ША)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6B40B2">
        <w:trPr>
          <w:trHeight w:val="1154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D910A9" w:rsidRDefault="00DD5067" w:rsidP="00061D83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страховка, упаковка, маркировка, пуско-наладочные работы, обучение персонала </w:t>
            </w:r>
            <w:r w:rsidR="00AE7A1A">
              <w:rPr>
                <w:rFonts w:ascii="Times New Roman" w:hAnsi="Times New Roman"/>
                <w:sz w:val="24"/>
                <w:szCs w:val="24"/>
              </w:rPr>
              <w:t>работе на оборудовании</w:t>
            </w:r>
            <w:proofErr w:type="gramStart"/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61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1D83">
              <w:t>о</w:t>
            </w:r>
            <w:proofErr w:type="gramEnd"/>
            <w:r w:rsidR="00061D83">
              <w:t xml:space="preserve">смотр машины </w:t>
            </w:r>
            <w:r w:rsidR="00061D83" w:rsidRPr="00430B07">
              <w:rPr>
                <w:rFonts w:ascii="Times New Roman" w:hAnsi="Times New Roman"/>
                <w:sz w:val="24"/>
                <w:szCs w:val="24"/>
                <w:lang w:eastAsia="ru-RU"/>
              </w:rPr>
              <w:t>в работе с получением печатной продукции 2+0, 1+1 на бумаге плотностью 50-60г/м</w:t>
            </w:r>
            <w:r w:rsidR="00061D83" w:rsidRPr="00430B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061D83" w:rsidRPr="00430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количестве 3000-5000 печатных листов с рабочей скоростью 10000отт./час. Краска, бумага предоставляется продавцом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0B2" w:rsidRPr="004960F0" w:rsidRDefault="006B40B2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оборудования б/у – предложение поставщика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73AAB">
              <w:rPr>
                <w:rFonts w:ascii="Times New Roman" w:hAnsi="Times New Roman"/>
                <w:b/>
                <w:sz w:val="24"/>
                <w:szCs w:val="24"/>
              </w:rPr>
              <w:t>двухкрасочной офсетной печатной машины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061D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31.01.2023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061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31.01.2023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E73AAB">
              <w:rPr>
                <w:b/>
                <w:color w:val="auto"/>
              </w:rPr>
              <w:t>1.</w:t>
            </w:r>
            <w:r w:rsidRPr="00E73AAB">
              <w:rPr>
                <w:color w:val="auto"/>
              </w:rPr>
              <w:t>Документы и сведения, подтверждающие экономическое и финансовое положение участника: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1.1. Заявление участника об отсутствии задолженности по уплате налогов, сборов (пошлин) и пеней. Достоверность  сведений комиссия Заказчика проверяет через официальный сайт  Министерства по налогам и сборам (примерный образец заявления прилагается); 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1.</w:t>
            </w:r>
            <w:r w:rsidR="007A4336">
              <w:rPr>
                <w:color w:val="auto"/>
              </w:rPr>
              <w:t>2</w:t>
            </w:r>
            <w:r w:rsidRPr="00E73AAB">
              <w:rPr>
                <w:color w:val="auto"/>
              </w:rPr>
              <w:t xml:space="preserve"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E73AAB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E73AAB">
              <w:rPr>
                <w:color w:val="auto"/>
              </w:rPr>
              <w:t>(примерный образец заявления прилагается).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E73AAB">
              <w:rPr>
                <w:color w:val="auto"/>
              </w:rPr>
              <w:t>.д</w:t>
            </w:r>
            <w:proofErr w:type="gramEnd"/>
            <w:r w:rsidRPr="00E73AAB">
              <w:rPr>
                <w:color w:val="auto"/>
              </w:rPr>
              <w:t>окументы, подтверждающие экономическое и финансовое положение участника</w:t>
            </w:r>
          </w:p>
          <w:p w:rsidR="00E73AAB" w:rsidRPr="00E73AAB" w:rsidRDefault="007A4336" w:rsidP="00E73AAB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73AAB" w:rsidRPr="00E73A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73AAB" w:rsidRPr="00E73AAB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Копия документа, исполненного на иностранном языке, представляется с переводом на русский язык.   </w:t>
            </w:r>
          </w:p>
          <w:p w:rsidR="00EC27E6" w:rsidRPr="00E73AAB" w:rsidRDefault="00E73AAB" w:rsidP="00E73AAB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A4336" w:rsidRPr="007A4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7A4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Документ, подтверждающий </w:t>
            </w:r>
            <w:r w:rsidR="007A4336">
              <w:rPr>
                <w:rFonts w:ascii="Times New Roman" w:hAnsi="Times New Roman"/>
                <w:sz w:val="24"/>
                <w:szCs w:val="24"/>
              </w:rPr>
              <w:t>право применения преференциальной поправки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4336">
              <w:rPr>
                <w:rFonts w:ascii="Times New Roman" w:hAnsi="Times New Roman"/>
                <w:sz w:val="24"/>
                <w:szCs w:val="24"/>
              </w:rPr>
              <w:t>в случае наличия такого права в соответствии с п.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960F0" w:rsidRP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7A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815D91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7A4336" w:rsidP="007A433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E73AAB">
                    <w:rPr>
                      <w:rFonts w:ascii="Times New Roman" w:hAnsi="Times New Roman"/>
                      <w:sz w:val="20"/>
                      <w:szCs w:val="20"/>
                    </w:rPr>
                    <w:t>0%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E73AAB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</w:t>
            </w:r>
            <w:r w:rsidR="007A4336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7A43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E73AAB" w:rsidRPr="004A7A04" w:rsidRDefault="007A4336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73AAB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73AAB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E73AAB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E73AAB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7A4336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>Не устанавливается (справка)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95"/>
              <w:jc w:val="both"/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</w:pPr>
            <w:r w:rsidRPr="00133319"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6926" w:type="dxa"/>
            <w:gridSpan w:val="4"/>
          </w:tcPr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19">
              <w:rPr>
                <w:rFonts w:ascii="Times New Roman" w:hAnsi="Times New Roman"/>
                <w:sz w:val="24"/>
                <w:szCs w:val="24"/>
              </w:rPr>
              <w:t>Применяется, в размере 15%</w:t>
            </w:r>
          </w:p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19">
              <w:rPr>
                <w:rFonts w:ascii="Times New Roman" w:hAnsi="Times New Roman"/>
                <w:sz w:val="24"/>
                <w:szCs w:val="24"/>
              </w:rPr>
              <w:t xml:space="preserve">        Участником должно быть предоставлено заявление о праве применения преференциальной поправки.</w:t>
            </w:r>
          </w:p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19">
              <w:rPr>
                <w:rFonts w:ascii="Times New Roman" w:hAnsi="Times New Roman"/>
                <w:sz w:val="24"/>
                <w:szCs w:val="24"/>
              </w:rPr>
              <w:t xml:space="preserve">         Для подтверждения права применения преференциальной поправки участником может быть предоставлен один из следующих документов:</w:t>
            </w:r>
          </w:p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319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 xml:space="preserve">-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выданный Белорусской торгово-промышленной палатой или ее унитарными предприятиями, либо его копия; </w:t>
            </w:r>
          </w:p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33319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>- для товаров, происходящих из государств - членов Евразийского экономического союза, в том числе из Республики Беларусь, - выписка из евразийского реестра промышленных товаров государств - членов Евразийского экономического союза.</w:t>
            </w:r>
          </w:p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33319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В случае выбора победителем участника, заявившего о своем праве на применение преференциальной поправки и подтвердившего такое право, договор заключается с ним по цене предложения такого участника процедуры закупки.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1333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640" w:type="dxa"/>
            <w:gridSpan w:val="5"/>
          </w:tcPr>
          <w:p w:rsidR="00133319" w:rsidRPr="00CA519A" w:rsidRDefault="00133319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133319" w:rsidRPr="009208C2" w:rsidRDefault="00133319" w:rsidP="00133319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13.06.2022, №353 от 23.12.2022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C3493"/>
    <w:multiLevelType w:val="multilevel"/>
    <w:tmpl w:val="A6E4244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1D83"/>
    <w:rsid w:val="00063A93"/>
    <w:rsid w:val="00064EDB"/>
    <w:rsid w:val="000673E3"/>
    <w:rsid w:val="000853E2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33319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22F8C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04D1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74ADF"/>
    <w:rsid w:val="0068127B"/>
    <w:rsid w:val="0068255C"/>
    <w:rsid w:val="00694670"/>
    <w:rsid w:val="006A374E"/>
    <w:rsid w:val="006B40B2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4336"/>
    <w:rsid w:val="007A5FD2"/>
    <w:rsid w:val="007B56D4"/>
    <w:rsid w:val="007B6C37"/>
    <w:rsid w:val="007C41AF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1AC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5463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C1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50431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322F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12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116</cp:revision>
  <cp:lastPrinted>2022-07-15T11:49:00Z</cp:lastPrinted>
  <dcterms:created xsi:type="dcterms:W3CDTF">2019-03-27T06:23:00Z</dcterms:created>
  <dcterms:modified xsi:type="dcterms:W3CDTF">2023-01-24T06:35:00Z</dcterms:modified>
</cp:coreProperties>
</file>