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9915D9">
        <w:rPr>
          <w:rFonts w:ascii="Times New Roman" w:hAnsi="Times New Roman"/>
          <w:b/>
          <w:sz w:val="28"/>
          <w:szCs w:val="28"/>
        </w:rPr>
        <w:t>двухкрасочной офсетной печатной машины</w:t>
      </w:r>
      <w:r w:rsidR="00985463">
        <w:rPr>
          <w:rFonts w:ascii="Times New Roman" w:hAnsi="Times New Roman"/>
          <w:b/>
          <w:sz w:val="28"/>
          <w:szCs w:val="28"/>
        </w:rPr>
        <w:t xml:space="preserve"> (новой или б/у (не старше 2008гв))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98546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5E04D1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5E04D1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985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985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  <w:r w:rsidR="0099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D64AEB" w:rsidRDefault="002A10FC" w:rsidP="007C41AF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="009915D9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двухкрасочная офсетная печатная  машина</w:t>
            </w:r>
            <w:r w:rsidR="007C41A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(новая или б/у (не старше 2008гв)</w:t>
            </w:r>
            <w:proofErr w:type="gramEnd"/>
          </w:p>
          <w:p w:rsidR="004960F0" w:rsidRPr="002A10FC" w:rsidRDefault="008D503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>доставка, упаковка, маркировка, пуско-наладочные работы, обучение персонала (не менее двух человек) работе на оборудовании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915D9" w:rsidRPr="009915D9" w:rsidRDefault="009915D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двухкрасочная офсетная печатная машина – 1шт;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комплект сменных поддонов стола самонаклада (на колесиках) – 2шт;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комплект сменных поддонов приемно-выводного устройства (на колесиках) – 2шт;</w:t>
            </w:r>
          </w:p>
          <w:p w:rsid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устройство для пробивки штифтовых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  <w:p w:rsidR="009915D9" w:rsidRPr="009915D9" w:rsidRDefault="009915D9" w:rsidP="000929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работы, услуги, </w:t>
            </w:r>
            <w:r w:rsidR="000929AC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Default="008D3D30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A4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9915D9" w:rsidRPr="009915D9" w:rsidRDefault="009915D9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Конструктивные, технические и технологические требования к оборудованию.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1.1.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</w:t>
            </w:r>
            <w:r w:rsidR="00985463">
              <w:rPr>
                <w:rFonts w:ascii="Times New Roman" w:hAnsi="Times New Roman"/>
                <w:sz w:val="24"/>
                <w:szCs w:val="24"/>
              </w:rPr>
              <w:t xml:space="preserve"> или б/у (не старше 2008гв)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1.2. Тип –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двухкрасочная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(1+1, 2+0);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Формат бумаги: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мах,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от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="009854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760*540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min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- не более </w:t>
            </w:r>
            <w:r w:rsidR="009854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="00985463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 Толщина бумаги от 0,04 до 0,3 мм;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Плотность стандартных запечатываемых материалов - 40-300 г/м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Производительность, листов/час - не менее 12000.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Подача бумаги - по широкой стороне.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 Высота стапеля самонаклада не менее 800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 Высота стапеля приемки не менее 400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 Толщина офсетного полотна - 1,9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 Антикоррозийное покрытие формного и офсетного цилиндров.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 Бесступенчатое регулирование скорости.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 Тип самонаклада – каскадный.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1.13. Счетчик предварительной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установки/отмены величины тиража продукции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1.14. Функция отключения подачи краски и выключения натиска при отсутствии бумаги.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 Устройство переворота листа с автоматическим переключением на режим двухсторонней печати.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1.16. Устройство автоматической смывки офсетных и печатных цилиндров с подачей смывочного раствора на смывочное полотно.</w:t>
            </w:r>
          </w:p>
          <w:p w:rsid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1.17. Автоматическая или полуавтоматическая система смены печатных форм.</w:t>
            </w:r>
          </w:p>
          <w:p w:rsidR="008811AC" w:rsidRPr="009915D9" w:rsidRDefault="008811AC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1.18. Автоматическое переключение на режим двусторонней печати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Устройство циркуляции увлажняющего раствора с охлаждением.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Устройство снятия статического электричества.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Датчик контроля предельной высоты стопы в приемно-выводном устройстве.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Устройство контроля двойного листа.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Дисплей визуализации ошибок и неисправностей.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Наличие </w:t>
            </w:r>
            <w:proofErr w:type="spell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маслоулавливающего</w:t>
            </w:r>
            <w:proofErr w:type="spell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поддона. 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 необходимости пробивки штифтовых отверстий в форме, наличие в комплекте поставки устройства для пробивки штифтовых отверстий.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 Энергоносители в месте подключения: электроэнергия 400В 50 Гц.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="008811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 Степень защиты электрооборудования – не ниже IP 54.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2. Требования к оборудованию в части охраны труда, окружающей среды и промышленной безопасности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2.1.2.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2.1.3.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Доступность осмотра, ремонта, санитарной обработки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2.1.4.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Уровень шума на рабочих местах при любом режиме работы оборудования не более 80 дБ.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2.1.5.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2.2.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 Требования к электронным компонентам и средствам измерения.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3.1. Оборудование должно иметь защитные блокировки, ограждения, приспособления.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Оборудование и узлы должны быть маркированы и идентифицированы в соответствии со схемами.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3.2. Электронные компоненты и комплектующие должны быть в исполнении для европейского рынка.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3.3.  Панель оператора (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) от 10” – цветная, сенсорная, интерфейс</w:t>
            </w:r>
            <w:r w:rsidRPr="009915D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на русском языке с многоуровневым доступом. Отображение параметров процесса в режиме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работой машины, отображение сообщений о неисправностях.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3.4.  Пароли доступа должны быть статические, без ограничения срока действия;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3.5.  Для 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переустановки рабочих программ (образов)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обеспечить наличие в комплекте поставки оборудования: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3.5.1. рабочих программ (проектов в виде файлов с расширением соответствующим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ПО) на электронном носителе.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3.5.2. программного обеспечения (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записи рабочих программ в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устанавливаемого на персональные компьютеры с ОС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3.5.3. соединительных кабелей для подключения персонального компьютера к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с необходимыми драйверами для ОС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3.6.  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 (Комплект: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оборудованием)).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3.7.  Для частотных приводов, сервоконтроллеров, сервоприводов, других программируемых устройств (согласно спецификации поставляемого оборудования) обеспечить наличие рабочих программ (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проектов в виде файлов с расширением соответствующим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ПО для программирования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), настроечных таблиц и параметров на электронном носителе.</w:t>
            </w:r>
            <w:r w:rsidRPr="009915D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3.8.  В случае поставки оборудования под управлением промышленных компьютеров обеспечить: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3.8.1. В случае поставки промышленных компьютеров под управлением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) в количестве, соответствующем количеству единиц оборудования. Версия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должна иметь поддержку компанией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момент поставки оборудования;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3.8.2. В случае поставки промышленных компьютеров под управлением ОС без коммерческой схемы лицензирования (ОС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,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и др.) необходимо наличие носителя информации с установочным (инсталляционным) образом ОС;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3.8.3. Промышленные компьютеры комплектуется носителем информации с установочным 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3.8.4. Промышленные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компьютере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должны быть оснащены интерфейсами USB (версии не ниже 2.0) для обеспечения возможного восстановления работоспособности оборудования;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3.8.5. Предоставить образ жесткого диска (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SSD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) промышленного компьютера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ПО для его восстановления.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3.9.  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134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 Требования к поставляемой с оборудованием документации.</w:t>
            </w:r>
          </w:p>
          <w:p w:rsidR="009915D9" w:rsidRPr="009915D9" w:rsidRDefault="009915D9" w:rsidP="009915D9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Инструкция по эксплуатации и обслуживанию на русском языке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(на бумажном и электронном носителях)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4.2. Технические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паспорта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все элементы комплектующие на русском или английском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4.3. Каталог деталей и сборочных единиц на бумажном носителе (на русском или английском языках).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4.4. Схемы электрические принципиальные, пневматические, гидравлические, схемы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русском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4.5. 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4.6. Сертификат страны происхождения оборудования.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4.7. Сертификат качества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4.8. Перечень сигнализаций аварийных состояний (аварий) с расшифровкой на русском языке и способы их устранения.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 Эксплуатационная документация в части обеспечения безопасности должна содержать: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4.9.1.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4.9.2. 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4.9.3. Требования к обслуживающему персоналу по использованию средств индивидуальной защиты.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4.9.4.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  <w:proofErr w:type="gramEnd"/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4.9.5. 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4.9.6. Регламент технического обслуживания и приемов его безопасного выполнения.</w:t>
            </w:r>
          </w:p>
          <w:p w:rsidR="008D3D30" w:rsidRPr="00D803A4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4.10. Вся выше перечисленная документация должна быть предоставлена в печатном и электронном виде.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9915D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28.99.13.930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9915D9" w:rsidRDefault="009915D9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офсетной печати листовые с форматом листа не более 52 </w:t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см"/>
              </w:smartTagPr>
              <w:r w:rsidRPr="009915D9">
                <w:rPr>
                  <w:rFonts w:ascii="Times New Roman" w:hAnsi="Times New Roman" w:cs="Times New Roman"/>
                  <w:sz w:val="24"/>
                  <w:szCs w:val="24"/>
                </w:rPr>
                <w:t>74 см</w:t>
              </w:r>
            </w:smartTag>
          </w:p>
        </w:tc>
      </w:tr>
      <w:tr w:rsidR="004960F0" w:rsidRPr="00CA519A" w:rsidTr="000929AC">
        <w:trPr>
          <w:trHeight w:val="143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>/</w:t>
            </w: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DAP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8D3D30">
              <w:rPr>
                <w:rStyle w:val="FontStyle16"/>
                <w:sz w:val="24"/>
                <w:szCs w:val="24"/>
              </w:rPr>
              <w:t xml:space="preserve"> г. Борисов – для резидентов РБ.</w:t>
            </w:r>
          </w:p>
          <w:p w:rsidR="004960F0" w:rsidRDefault="002A10FC" w:rsidP="00E73A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E73AAB">
              <w:rPr>
                <w:rFonts w:ascii="Times New Roman" w:hAnsi="Times New Roman"/>
                <w:sz w:val="24"/>
                <w:szCs w:val="24"/>
              </w:rPr>
              <w:t>8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6B40B2">
              <w:rPr>
                <w:rFonts w:ascii="Times New Roman" w:hAnsi="Times New Roman"/>
                <w:sz w:val="24"/>
                <w:szCs w:val="24"/>
              </w:rPr>
              <w:t xml:space="preserve"> (для нового оборудования)</w:t>
            </w:r>
          </w:p>
          <w:p w:rsidR="006B40B2" w:rsidRPr="006B40B2" w:rsidRDefault="006B40B2" w:rsidP="00E73A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6B40B2">
              <w:rPr>
                <w:rFonts w:ascii="Times New Roman" w:hAnsi="Times New Roman"/>
                <w:sz w:val="24"/>
                <w:szCs w:val="24"/>
                <w:lang w:eastAsia="ru-RU"/>
              </w:rPr>
              <w:t>Осмотр технического состояния б/у оборудования в работе по месту продажи – обязательно.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E73AA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6B40B2">
        <w:trPr>
          <w:trHeight w:val="1154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67" w:rsidRPr="0053374A" w:rsidRDefault="00DD5067" w:rsidP="00DD5067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страховка, упаковка, маркировка, пуско-наладочные работы, обучение персонала </w:t>
            </w:r>
            <w:r w:rsidR="00AE7A1A">
              <w:rPr>
                <w:rFonts w:ascii="Times New Roman" w:hAnsi="Times New Roman"/>
                <w:sz w:val="24"/>
                <w:szCs w:val="24"/>
              </w:rPr>
              <w:t>работе на оборудовании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D910A9" w:rsidRDefault="00DD5067" w:rsidP="006B40B2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Также в цену предложения должны быть включены: гарантийное обслуживание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0B2" w:rsidRDefault="006B40B2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нового оборудования:</w:t>
            </w:r>
          </w:p>
          <w:p w:rsidR="00AE7A1A" w:rsidRDefault="004960F0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D5067">
              <w:rPr>
                <w:rFonts w:ascii="Times New Roman" w:hAnsi="Times New Roman"/>
                <w:sz w:val="24"/>
                <w:szCs w:val="24"/>
              </w:rPr>
              <w:t>24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эксплуатацию.</w:t>
            </w:r>
          </w:p>
          <w:p w:rsidR="00AE7A1A" w:rsidRDefault="00AE7A1A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или с учетом территориального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A1A" w:rsidRDefault="00AE7A1A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Послегарантийное обслуживание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не менее 10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60F0" w:rsidRP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Default="00E73AAB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отклика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гарантийному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не более 24 часов.</w:t>
            </w:r>
          </w:p>
          <w:p w:rsidR="006B40B2" w:rsidRPr="004960F0" w:rsidRDefault="006B40B2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оборудования б/у – предложение поставщика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73AAB">
              <w:rPr>
                <w:rFonts w:ascii="Times New Roman" w:hAnsi="Times New Roman"/>
                <w:b/>
                <w:sz w:val="24"/>
                <w:szCs w:val="24"/>
              </w:rPr>
              <w:t>двухкрасочной офсетной печатной машины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9854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01.12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9854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01.12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Default="00BF4B1B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быстроизнашивающихся частей, расходных материалов для обслуживания камер с указанием их стоимости.</w:t>
            </w:r>
            <w:r w:rsid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E73AAB">
              <w:rPr>
                <w:b/>
                <w:color w:val="auto"/>
              </w:rPr>
              <w:t>1.</w:t>
            </w:r>
            <w:r w:rsidRPr="00E73AAB">
              <w:rPr>
                <w:color w:val="auto"/>
              </w:rPr>
              <w:t>Документы и сведения, подтверждающие экономическое и финансовое положение участника: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1.1. Заявление участника об отсутствии задолженности по уплате налогов, сборов (пошлин) и пеней. Достоверность  сведений комиссия Заказчика проверяет через официальный сайт  Министерства по налогам и сборам (примерный образец заявления прилагается); 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1.2. Справка с банка о финансовом состоянии и платежеспособности.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1.3.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E73AAB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E73AAB">
              <w:rPr>
                <w:color w:val="auto"/>
              </w:rPr>
              <w:t>(примерный образец заявления прилагается).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E73AAB">
              <w:rPr>
                <w:color w:val="auto"/>
              </w:rPr>
              <w:t>.д</w:t>
            </w:r>
            <w:proofErr w:type="gramEnd"/>
            <w:r w:rsidRPr="00E73AAB">
              <w:rPr>
                <w:color w:val="auto"/>
              </w:rPr>
              <w:t>окументы, подтверждающие экономическое и финансовое положение участника</w:t>
            </w:r>
          </w:p>
          <w:p w:rsidR="00E73AAB" w:rsidRPr="00E73AAB" w:rsidRDefault="00E73AAB" w:rsidP="00E73A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статус производителя и (или) </w:t>
            </w:r>
            <w:r w:rsidRPr="00E73AAB">
              <w:rPr>
                <w:rFonts w:ascii="Times New Roman" w:eastAsiaTheme="minorHAnsi" w:hAnsi="Times New Roman"/>
                <w:sz w:val="24"/>
                <w:szCs w:val="24"/>
              </w:rPr>
              <w:t>сбытовой организацией (официальный торговый представитель)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Срок действия таких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</w:t>
            </w: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73AAB" w:rsidRP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технические возможности участника: 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3.1. Сведения о наличии опыта поставок аналогичного оборудования за период 2019-2022г (документ должен содержать такие сведения как: заказчик, наименование оборудования (модель, название) и период поставки); </w:t>
            </w:r>
          </w:p>
          <w:p w:rsidR="00E73AAB" w:rsidRPr="00E73AAB" w:rsidRDefault="00E73AAB" w:rsidP="00E73AAB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3.2. Сведения о системе управления качеством на заводе-изготовителе (</w:t>
            </w:r>
            <w:r w:rsidRPr="00E73AA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3.3. Заявление участника о </w:t>
            </w:r>
            <w:r w:rsidRPr="00E73AAB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Копия документа, исполненного на иностранном языке, представляется с переводом на русский язык.   </w:t>
            </w:r>
          </w:p>
          <w:p w:rsidR="00EC27E6" w:rsidRPr="00E73AAB" w:rsidRDefault="00E73AAB" w:rsidP="00E73AAB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. Документ, подтверждающий страну происхождения товара (для выполнения требований п.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документации).</w:t>
            </w:r>
          </w:p>
          <w:p w:rsidR="004960F0" w:rsidRP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985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815D91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2й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% от стоимости предложения: после поступления на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Участник, предлагающий наилучшие условия  получает балл – 0,03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985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853E2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04D1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74ADF"/>
    <w:rsid w:val="0068127B"/>
    <w:rsid w:val="0068255C"/>
    <w:rsid w:val="00694670"/>
    <w:rsid w:val="006A374E"/>
    <w:rsid w:val="006B40B2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C41AF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1AC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5463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50431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12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115</cp:revision>
  <cp:lastPrinted>2022-07-15T11:49:00Z</cp:lastPrinted>
  <dcterms:created xsi:type="dcterms:W3CDTF">2019-03-27T06:23:00Z</dcterms:created>
  <dcterms:modified xsi:type="dcterms:W3CDTF">2022-10-25T08:13:00Z</dcterms:modified>
</cp:coreProperties>
</file>