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A612D1" w:rsidP="00D576E3">
      <w:r w:rsidRPr="005E592D">
        <w:t xml:space="preserve">                                                                                                             </w:t>
      </w:r>
      <w:proofErr w:type="spellStart"/>
      <w:r w:rsidRPr="005E592D">
        <w:t>С.Н.Пономарев</w:t>
      </w:r>
      <w:proofErr w:type="spellEnd"/>
    </w:p>
    <w:p w:rsidR="00A612D1" w:rsidRPr="005E592D" w:rsidRDefault="00A612D1" w:rsidP="00D576E3"/>
    <w:p w:rsidR="00A612D1" w:rsidRPr="005E592D" w:rsidRDefault="00A612D1" w:rsidP="00D576E3">
      <w:r w:rsidRPr="005E592D">
        <w:t xml:space="preserve">                                                                  </w:t>
      </w:r>
      <w:r w:rsidR="00C37962" w:rsidRPr="00995CA0">
        <w:t>21</w:t>
      </w:r>
      <w:r w:rsidRPr="00995CA0">
        <w:t>.0</w:t>
      </w:r>
      <w:r w:rsidR="00C37962" w:rsidRPr="00995CA0">
        <w:t>9</w:t>
      </w:r>
      <w:r w:rsidRPr="00995CA0">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A612D1" w:rsidRPr="00B03110" w:rsidRDefault="00DD756E" w:rsidP="00D576E3">
      <w:pPr>
        <w:jc w:val="center"/>
        <w:rPr>
          <w:b/>
          <w:sz w:val="36"/>
          <w:szCs w:val="36"/>
        </w:rPr>
      </w:pPr>
      <w:r w:rsidRPr="00995CA0">
        <w:rPr>
          <w:b/>
          <w:sz w:val="36"/>
          <w:szCs w:val="36"/>
        </w:rPr>
        <w:t>28</w:t>
      </w:r>
      <w:r w:rsidR="00A612D1" w:rsidRPr="00995CA0">
        <w:rPr>
          <w:b/>
          <w:sz w:val="36"/>
          <w:szCs w:val="36"/>
        </w:rPr>
        <w:t>.0</w:t>
      </w:r>
      <w:r w:rsidR="00C37962" w:rsidRPr="00995CA0">
        <w:rPr>
          <w:b/>
          <w:sz w:val="36"/>
          <w:szCs w:val="36"/>
        </w:rPr>
        <w:t>9</w:t>
      </w:r>
      <w:r w:rsidR="00A612D1" w:rsidRPr="00995CA0">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 xml:space="preserve">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C37962">
        <w:rPr>
          <w:sz w:val="24"/>
          <w:szCs w:val="24"/>
          <w:highlight w:val="yellow"/>
        </w:rPr>
        <w:t>28</w:t>
      </w:r>
      <w:r w:rsidRPr="00C37962">
        <w:rPr>
          <w:sz w:val="24"/>
          <w:szCs w:val="24"/>
          <w:highlight w:val="yellow"/>
        </w:rPr>
        <w:t>.0</w:t>
      </w:r>
      <w:r w:rsidR="00C37962" w:rsidRPr="00C37962">
        <w:rPr>
          <w:sz w:val="24"/>
          <w:szCs w:val="24"/>
          <w:highlight w:val="yellow"/>
        </w:rPr>
        <w:t>9</w:t>
      </w:r>
      <w:r w:rsidRPr="00C37962">
        <w:rPr>
          <w:sz w:val="24"/>
          <w:szCs w:val="24"/>
          <w:highlight w:val="yellow"/>
        </w:rPr>
        <w:t>.2022</w:t>
      </w:r>
      <w:r>
        <w:rPr>
          <w:sz w:val="24"/>
          <w:szCs w:val="24"/>
        </w:rPr>
        <w:t xml:space="preserve">» </w:t>
      </w:r>
      <w:r w:rsidRPr="005E592D">
        <w:rPr>
          <w:sz w:val="24"/>
          <w:szCs w:val="24"/>
        </w:rPr>
        <w:t>→</w:t>
      </w:r>
      <w:r>
        <w:rPr>
          <w:sz w:val="24"/>
          <w:szCs w:val="24"/>
        </w:rPr>
        <w:t xml:space="preserve"> «</w:t>
      </w:r>
      <w:r w:rsidR="00C37962">
        <w:rPr>
          <w:sz w:val="24"/>
          <w:szCs w:val="24"/>
        </w:rPr>
        <w:t>Наименование</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proofErr w:type="gramStart"/>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76437A" w:rsidRPr="00C37962">
        <w:rPr>
          <w:sz w:val="24"/>
          <w:szCs w:val="24"/>
          <w:highlight w:val="yellow"/>
        </w:rPr>
        <w:t>28</w:t>
      </w:r>
      <w:r w:rsidRPr="00C37962">
        <w:rPr>
          <w:sz w:val="24"/>
          <w:szCs w:val="24"/>
          <w:highlight w:val="yellow"/>
        </w:rPr>
        <w:t>.0</w:t>
      </w:r>
      <w:r w:rsidR="00C37962" w:rsidRPr="00C37962">
        <w:rPr>
          <w:sz w:val="24"/>
          <w:szCs w:val="24"/>
          <w:highlight w:val="yellow"/>
        </w:rPr>
        <w:t>9</w:t>
      </w:r>
      <w:r w:rsidRPr="00C37962">
        <w:rPr>
          <w:sz w:val="24"/>
          <w:szCs w:val="24"/>
          <w:highlight w:val="yellow"/>
        </w:rPr>
        <w:t>.2022</w:t>
      </w:r>
      <w:r w:rsidRPr="00C76270">
        <w:rPr>
          <w:sz w:val="24"/>
          <w:szCs w:val="24"/>
        </w:rPr>
        <w:t>» →  «</w:t>
      </w:r>
      <w:r w:rsidR="00C37962">
        <w:rPr>
          <w:sz w:val="24"/>
          <w:szCs w:val="24"/>
        </w:rPr>
        <w:t>Наименование</w:t>
      </w:r>
      <w:r w:rsidRPr="00C76270">
        <w:rPr>
          <w:sz w:val="24"/>
          <w:szCs w:val="24"/>
        </w:rPr>
        <w:t xml:space="preserve">»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roofErr w:type="gramEnd"/>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C37962">
            <w:pPr>
              <w:pStyle w:val="a3"/>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sidRPr="00C37962">
              <w:rPr>
                <w:sz w:val="24"/>
                <w:szCs w:val="24"/>
                <w:highlight w:val="yellow"/>
              </w:rPr>
              <w:t>28</w:t>
            </w:r>
            <w:r w:rsidRPr="00C37962">
              <w:rPr>
                <w:sz w:val="24"/>
                <w:szCs w:val="24"/>
                <w:highlight w:val="yellow"/>
              </w:rPr>
              <w:t>.0</w:t>
            </w:r>
            <w:r w:rsidR="00C37962" w:rsidRPr="00C37962">
              <w:rPr>
                <w:sz w:val="24"/>
                <w:szCs w:val="24"/>
                <w:highlight w:val="yellow"/>
              </w:rPr>
              <w:t>9</w:t>
            </w:r>
            <w:r w:rsidRPr="00C37962">
              <w:rPr>
                <w:sz w:val="24"/>
                <w:szCs w:val="24"/>
                <w:highlight w:val="yellow"/>
              </w:rPr>
              <w:t>.2022</w:t>
            </w:r>
            <w:r w:rsidRPr="00076B19">
              <w:rPr>
                <w:sz w:val="24"/>
                <w:szCs w:val="24"/>
              </w:rPr>
              <w:t>»</w:t>
            </w:r>
            <w:r>
              <w:rPr>
                <w:sz w:val="24"/>
                <w:szCs w:val="24"/>
              </w:rPr>
              <w:t xml:space="preserve"> </w:t>
            </w:r>
            <w:r w:rsidRPr="005E592D">
              <w:rPr>
                <w:sz w:val="24"/>
                <w:szCs w:val="24"/>
              </w:rPr>
              <w:t>→</w:t>
            </w:r>
            <w:r>
              <w:rPr>
                <w:sz w:val="24"/>
                <w:szCs w:val="24"/>
              </w:rPr>
              <w:t xml:space="preserve"> «</w:t>
            </w:r>
            <w:r w:rsidR="00C37962">
              <w:rPr>
                <w:sz w:val="24"/>
                <w:szCs w:val="24"/>
              </w:rPr>
              <w:t>Наименование</w:t>
            </w:r>
            <w:r>
              <w:rPr>
                <w:sz w:val="24"/>
                <w:szCs w:val="24"/>
              </w:rPr>
              <w:t>»</w:t>
            </w:r>
            <w:r w:rsidRPr="005E592D">
              <w:rPr>
                <w:sz w:val="24"/>
                <w:szCs w:val="24"/>
              </w:rPr>
              <w:t xml:space="preserve"> </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proofErr w:type="gramStart"/>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roofErr w:type="gramEnd"/>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995CA0" w:rsidRDefault="00995CA0" w:rsidP="00776A65">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 xml:space="preserve">Дата </w:t>
      </w:r>
      <w:r w:rsidR="00A612D1" w:rsidRPr="00995CA0">
        <w:rPr>
          <w:sz w:val="24"/>
          <w:szCs w:val="24"/>
        </w:rPr>
        <w:t xml:space="preserve">проведения: </w:t>
      </w:r>
      <w:r w:rsidR="0076437A" w:rsidRPr="00995CA0">
        <w:rPr>
          <w:sz w:val="24"/>
          <w:szCs w:val="24"/>
        </w:rPr>
        <w:t>28</w:t>
      </w:r>
      <w:r w:rsidR="00A612D1" w:rsidRPr="00995CA0">
        <w:rPr>
          <w:sz w:val="24"/>
          <w:szCs w:val="24"/>
        </w:rPr>
        <w:t>.0</w:t>
      </w:r>
      <w:r w:rsidR="00C37962" w:rsidRPr="00995CA0">
        <w:rPr>
          <w:sz w:val="24"/>
          <w:szCs w:val="24"/>
        </w:rPr>
        <w:t>9</w:t>
      </w:r>
      <w:r w:rsidR="00A612D1" w:rsidRPr="00995CA0">
        <w:rPr>
          <w:sz w:val="24"/>
          <w:szCs w:val="24"/>
        </w:rPr>
        <w:t>.2022» →  «</w:t>
      </w:r>
      <w:r w:rsidR="00C37962" w:rsidRPr="00995CA0">
        <w:rPr>
          <w:sz w:val="24"/>
          <w:szCs w:val="24"/>
        </w:rPr>
        <w:t>Наименование</w:t>
      </w:r>
      <w:r w:rsidR="00A612D1" w:rsidRPr="00995CA0">
        <w:rPr>
          <w:sz w:val="24"/>
          <w:szCs w:val="24"/>
        </w:rPr>
        <w:t>».</w:t>
      </w:r>
      <w:r w:rsidR="00A612D1" w:rsidRPr="00995CA0">
        <w:rPr>
          <w:bCs/>
          <w:w w:val="112"/>
          <w:sz w:val="24"/>
          <w:szCs w:val="24"/>
        </w:rPr>
        <w:t xml:space="preserve">                                                                                                                                                     </w:t>
      </w:r>
      <w:r w:rsidR="00A612D1" w:rsidRPr="00995CA0">
        <w:rPr>
          <w:sz w:val="24"/>
          <w:szCs w:val="24"/>
        </w:rPr>
        <w:t xml:space="preserve"> </w:t>
      </w:r>
      <w:r w:rsidR="00A612D1" w:rsidRPr="00995CA0">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995CA0" w:rsidRDefault="00A612D1" w:rsidP="00700320">
      <w:pPr>
        <w:ind w:firstLine="284"/>
        <w:jc w:val="both"/>
        <w:rPr>
          <w:sz w:val="24"/>
          <w:szCs w:val="24"/>
        </w:rPr>
      </w:pPr>
      <w:r w:rsidRPr="00995CA0">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995CA0" w:rsidRDefault="00A612D1" w:rsidP="00700320">
      <w:pPr>
        <w:suppressAutoHyphens/>
        <w:autoSpaceDE w:val="0"/>
        <w:autoSpaceDN w:val="0"/>
        <w:adjustRightInd w:val="0"/>
        <w:ind w:firstLine="284"/>
        <w:jc w:val="both"/>
        <w:rPr>
          <w:bCs/>
          <w:sz w:val="24"/>
          <w:szCs w:val="24"/>
        </w:rPr>
      </w:pPr>
      <w:r w:rsidRPr="00995CA0">
        <w:rPr>
          <w:bCs/>
          <w:sz w:val="24"/>
          <w:szCs w:val="24"/>
        </w:rPr>
        <w:t>9.2. Конкурсные документы оформляются на бумажных носителях и дополнительно в виде электронного документа.</w:t>
      </w:r>
    </w:p>
    <w:p w:rsidR="00A612D1" w:rsidRPr="00995CA0" w:rsidRDefault="00A612D1" w:rsidP="00700320">
      <w:pPr>
        <w:ind w:firstLine="284"/>
        <w:jc w:val="both"/>
        <w:rPr>
          <w:sz w:val="24"/>
          <w:szCs w:val="24"/>
        </w:rPr>
      </w:pPr>
      <w:r w:rsidRPr="00995CA0">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995CA0">
          <w:rPr>
            <w:rStyle w:val="a7"/>
            <w:sz w:val="24"/>
            <w:szCs w:val="24"/>
            <w:lang w:val="en-US"/>
          </w:rPr>
          <w:t>www</w:t>
        </w:r>
        <w:r w:rsidRPr="00995CA0">
          <w:rPr>
            <w:rStyle w:val="a7"/>
            <w:sz w:val="24"/>
            <w:szCs w:val="24"/>
          </w:rPr>
          <w:t>.</w:t>
        </w:r>
        <w:proofErr w:type="spellStart"/>
        <w:r w:rsidRPr="00995CA0">
          <w:rPr>
            <w:rStyle w:val="a7"/>
            <w:sz w:val="24"/>
            <w:szCs w:val="24"/>
            <w:lang w:val="en-US"/>
          </w:rPr>
          <w:t>borimed</w:t>
        </w:r>
        <w:proofErr w:type="spellEnd"/>
        <w:r w:rsidRPr="00995CA0">
          <w:rPr>
            <w:rStyle w:val="a7"/>
            <w:sz w:val="24"/>
            <w:szCs w:val="24"/>
          </w:rPr>
          <w:t>.</w:t>
        </w:r>
        <w:r w:rsidRPr="00995CA0">
          <w:rPr>
            <w:rStyle w:val="a7"/>
            <w:sz w:val="24"/>
            <w:szCs w:val="24"/>
            <w:lang w:val="en-US"/>
          </w:rPr>
          <w:t>com</w:t>
        </w:r>
      </w:hyperlink>
      <w:r w:rsidRPr="00995CA0">
        <w:rPr>
          <w:sz w:val="24"/>
          <w:szCs w:val="24"/>
        </w:rPr>
        <w:t xml:space="preserve">., раздел «Закупки» → «Отдел закупок» →  «Дата проведения: </w:t>
      </w:r>
      <w:r w:rsidR="0076437A" w:rsidRPr="00995CA0">
        <w:rPr>
          <w:sz w:val="24"/>
          <w:szCs w:val="24"/>
        </w:rPr>
        <w:t>28</w:t>
      </w:r>
      <w:r w:rsidRPr="00995CA0">
        <w:rPr>
          <w:sz w:val="24"/>
          <w:szCs w:val="24"/>
        </w:rPr>
        <w:t>.0</w:t>
      </w:r>
      <w:r w:rsidR="00C37962" w:rsidRPr="00995CA0">
        <w:rPr>
          <w:sz w:val="24"/>
          <w:szCs w:val="24"/>
        </w:rPr>
        <w:t>9</w:t>
      </w:r>
      <w:r w:rsidRPr="00995CA0">
        <w:rPr>
          <w:sz w:val="24"/>
          <w:szCs w:val="24"/>
        </w:rPr>
        <w:t>.2022» → «</w:t>
      </w:r>
      <w:r w:rsidR="00C37962" w:rsidRPr="00995CA0">
        <w:rPr>
          <w:sz w:val="24"/>
          <w:szCs w:val="24"/>
        </w:rPr>
        <w:t>Наименование</w:t>
      </w:r>
      <w:r w:rsidRPr="00995CA0">
        <w:rPr>
          <w:sz w:val="24"/>
          <w:szCs w:val="24"/>
        </w:rPr>
        <w:t>».</w:t>
      </w:r>
    </w:p>
    <w:p w:rsidR="00A612D1" w:rsidRPr="005E592D" w:rsidRDefault="00A612D1" w:rsidP="00700320">
      <w:pPr>
        <w:pStyle w:val="a3"/>
        <w:ind w:firstLine="284"/>
        <w:rPr>
          <w:sz w:val="24"/>
          <w:szCs w:val="24"/>
        </w:rPr>
      </w:pPr>
      <w:r w:rsidRPr="00995CA0">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995CA0">
        <w:rPr>
          <w:sz w:val="24"/>
          <w:szCs w:val="24"/>
        </w:rPr>
        <w:t>пять</w:t>
      </w:r>
      <w:r w:rsidRPr="00995CA0">
        <w:rPr>
          <w:sz w:val="24"/>
          <w:szCs w:val="24"/>
        </w:rPr>
        <w:t xml:space="preserve"> календарных дней до истечения окончательного</w:t>
      </w:r>
      <w:r w:rsidRPr="005E592D">
        <w:rPr>
          <w:sz w:val="24"/>
          <w:szCs w:val="24"/>
        </w:rPr>
        <w:t xml:space="preserve">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w:t>
      </w:r>
      <w:proofErr w:type="spellStart"/>
      <w:proofErr w:type="gramStart"/>
      <w:r w:rsidRPr="005E592D">
        <w:rPr>
          <w:sz w:val="24"/>
          <w:szCs w:val="24"/>
        </w:rPr>
        <w:t>дня</w:t>
      </w:r>
      <w:proofErr w:type="spellEnd"/>
      <w:proofErr w:type="gramEnd"/>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sidRPr="00995CA0">
              <w:rPr>
                <w:b/>
                <w:sz w:val="24"/>
                <w:szCs w:val="24"/>
              </w:rPr>
              <w:t>28</w:t>
            </w:r>
            <w:r w:rsidRPr="00995CA0">
              <w:rPr>
                <w:b/>
                <w:sz w:val="24"/>
                <w:szCs w:val="24"/>
              </w:rPr>
              <w:t>.0</w:t>
            </w:r>
            <w:r w:rsidR="00C37962" w:rsidRPr="00995CA0">
              <w:rPr>
                <w:b/>
                <w:sz w:val="24"/>
                <w:szCs w:val="24"/>
              </w:rPr>
              <w:t>9</w:t>
            </w:r>
            <w:r w:rsidRPr="00995CA0">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xml:space="preserve">. </w:t>
      </w:r>
      <w:r w:rsidRPr="00995CA0">
        <w:rPr>
          <w:sz w:val="24"/>
          <w:szCs w:val="24"/>
        </w:rPr>
        <w:t xml:space="preserve">Окончательный срок представления конкурсных предложений до 10 часов 30 минут </w:t>
      </w:r>
      <w:r w:rsidR="00760E58" w:rsidRPr="00995CA0">
        <w:rPr>
          <w:sz w:val="24"/>
          <w:szCs w:val="24"/>
        </w:rPr>
        <w:t>28</w:t>
      </w:r>
      <w:r w:rsidRPr="00995CA0">
        <w:rPr>
          <w:sz w:val="24"/>
          <w:szCs w:val="24"/>
        </w:rPr>
        <w:t>.0</w:t>
      </w:r>
      <w:r w:rsidR="00C37962" w:rsidRPr="00995CA0">
        <w:rPr>
          <w:sz w:val="24"/>
          <w:szCs w:val="24"/>
        </w:rPr>
        <w:t>9</w:t>
      </w:r>
      <w:r w:rsidRPr="00995CA0">
        <w:rPr>
          <w:sz w:val="24"/>
          <w:szCs w:val="24"/>
        </w:rPr>
        <w:t>.2022 г., ук</w:t>
      </w:r>
      <w:r w:rsidRPr="005E592D">
        <w:rPr>
          <w:sz w:val="24"/>
          <w:szCs w:val="24"/>
        </w:rPr>
        <w:t xml:space="preserve">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Pr="00995CA0" w:rsidRDefault="00A612D1" w:rsidP="00C37962">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Pr="00995CA0">
        <w:rPr>
          <w:sz w:val="24"/>
          <w:szCs w:val="24"/>
        </w:rPr>
        <w:t>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995CA0">
        <w:rPr>
          <w:sz w:val="24"/>
          <w:szCs w:val="24"/>
        </w:rPr>
        <w:t xml:space="preserve"> «БЗМП»: </w:t>
      </w:r>
      <w:hyperlink r:id="rId16" w:history="1">
        <w:r w:rsidRPr="00995CA0">
          <w:rPr>
            <w:rStyle w:val="a7"/>
            <w:sz w:val="24"/>
            <w:szCs w:val="24"/>
            <w:lang w:val="en-US"/>
          </w:rPr>
          <w:t>www</w:t>
        </w:r>
        <w:r w:rsidRPr="00995CA0">
          <w:rPr>
            <w:rStyle w:val="a7"/>
            <w:sz w:val="24"/>
            <w:szCs w:val="24"/>
          </w:rPr>
          <w:t>.</w:t>
        </w:r>
        <w:proofErr w:type="spellStart"/>
        <w:r w:rsidRPr="00995CA0">
          <w:rPr>
            <w:rStyle w:val="a7"/>
            <w:sz w:val="24"/>
            <w:szCs w:val="24"/>
            <w:lang w:val="en-US"/>
          </w:rPr>
          <w:t>borimed</w:t>
        </w:r>
        <w:proofErr w:type="spellEnd"/>
        <w:r w:rsidRPr="00995CA0">
          <w:rPr>
            <w:rStyle w:val="a7"/>
            <w:sz w:val="24"/>
            <w:szCs w:val="24"/>
          </w:rPr>
          <w:t>.</w:t>
        </w:r>
        <w:r w:rsidRPr="00995CA0">
          <w:rPr>
            <w:rStyle w:val="a7"/>
            <w:sz w:val="24"/>
            <w:szCs w:val="24"/>
            <w:lang w:val="en-US"/>
          </w:rPr>
          <w:t>com</w:t>
        </w:r>
      </w:hyperlink>
      <w:r w:rsidRPr="00995CA0">
        <w:rPr>
          <w:sz w:val="24"/>
          <w:szCs w:val="24"/>
        </w:rPr>
        <w:t xml:space="preserve">, в разделе «Закупки»→ «Отдел закупок» → «Дата проведения: </w:t>
      </w:r>
      <w:r w:rsidR="00760E58" w:rsidRPr="00995CA0">
        <w:rPr>
          <w:sz w:val="24"/>
          <w:szCs w:val="24"/>
        </w:rPr>
        <w:t>28</w:t>
      </w:r>
      <w:r w:rsidRPr="00995CA0">
        <w:rPr>
          <w:sz w:val="24"/>
          <w:szCs w:val="24"/>
        </w:rPr>
        <w:t>.0</w:t>
      </w:r>
      <w:r w:rsidR="00C37962" w:rsidRPr="00995CA0">
        <w:rPr>
          <w:sz w:val="24"/>
          <w:szCs w:val="24"/>
        </w:rPr>
        <w:t>9</w:t>
      </w:r>
      <w:r w:rsidRPr="00995CA0">
        <w:rPr>
          <w:sz w:val="24"/>
          <w:szCs w:val="24"/>
        </w:rPr>
        <w:t>.2022» → «</w:t>
      </w:r>
      <w:r w:rsidR="00C37962" w:rsidRPr="00995CA0">
        <w:rPr>
          <w:sz w:val="24"/>
          <w:szCs w:val="24"/>
        </w:rPr>
        <w:t>Наименование».</w:t>
      </w:r>
    </w:p>
    <w:p w:rsidR="00A612D1" w:rsidRPr="005E592D" w:rsidRDefault="00A612D1" w:rsidP="00700320">
      <w:pPr>
        <w:pStyle w:val="a3"/>
        <w:ind w:firstLine="284"/>
        <w:rPr>
          <w:sz w:val="24"/>
          <w:szCs w:val="24"/>
        </w:rPr>
      </w:pPr>
      <w:r w:rsidRPr="00995CA0">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r w:rsidRPr="005E592D">
        <w:rPr>
          <w:sz w:val="24"/>
          <w:szCs w:val="24"/>
        </w:rPr>
        <w:t>.</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C37962" w:rsidRDefault="00C37962" w:rsidP="00D576E3">
      <w:pPr>
        <w:pStyle w:val="a3"/>
        <w:ind w:firstLine="180"/>
        <w:rPr>
          <w:bCs/>
          <w:sz w:val="24"/>
          <w:szCs w:val="24"/>
        </w:rPr>
      </w:pPr>
    </w:p>
    <w:p w:rsidR="00C37962" w:rsidRDefault="00C37962" w:rsidP="00D576E3">
      <w:pPr>
        <w:pStyle w:val="a3"/>
        <w:ind w:firstLine="180"/>
        <w:rPr>
          <w:bCs/>
          <w:sz w:val="24"/>
          <w:szCs w:val="24"/>
        </w:rPr>
      </w:pPr>
    </w:p>
    <w:p w:rsidR="00C37962" w:rsidRDefault="00C37962"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C37962" w:rsidRPr="005E592D" w:rsidRDefault="00C37962" w:rsidP="00E535C1">
      <w:pPr>
        <w:pStyle w:val="a5"/>
        <w:ind w:firstLine="284"/>
        <w:rPr>
          <w:sz w:val="24"/>
          <w:szCs w:val="24"/>
        </w:rPr>
      </w:pPr>
    </w:p>
    <w:p w:rsidR="00A612D1" w:rsidRDefault="00A612D1" w:rsidP="00D576E3">
      <w:pPr>
        <w:pStyle w:val="a5"/>
        <w:spacing w:before="120" w:after="120"/>
        <w:ind w:left="2977" w:hanging="2410"/>
        <w:jc w:val="right"/>
        <w:rPr>
          <w:sz w:val="24"/>
          <w:szCs w:val="24"/>
        </w:rPr>
      </w:pPr>
      <w:r w:rsidRPr="005E592D">
        <w:rPr>
          <w:sz w:val="24"/>
          <w:szCs w:val="24"/>
        </w:rPr>
        <w:lastRenderedPageBreak/>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w:t>
      </w:r>
      <w:r w:rsidRPr="005E592D">
        <w:rPr>
          <w:sz w:val="24"/>
          <w:szCs w:val="24"/>
        </w:rPr>
        <w:lastRenderedPageBreak/>
        <w:t>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lastRenderedPageBreak/>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w:t>
      </w:r>
      <w:r w:rsidR="00C37962">
        <w:rPr>
          <w:sz w:val="24"/>
          <w:szCs w:val="24"/>
        </w:rPr>
        <w:t>акупки) по следующему адресу:  о</w:t>
      </w:r>
      <w:r w:rsidRPr="005E592D">
        <w:rPr>
          <w:sz w:val="24"/>
          <w:szCs w:val="24"/>
        </w:rPr>
        <w:t>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995CA0"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w:t>
      </w:r>
      <w:r w:rsidRPr="00995CA0">
        <w:rPr>
          <w:sz w:val="24"/>
          <w:szCs w:val="24"/>
        </w:rPr>
        <w:t xml:space="preserve">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760E58" w:rsidRPr="00995CA0">
        <w:rPr>
          <w:sz w:val="24"/>
          <w:szCs w:val="24"/>
        </w:rPr>
        <w:t>28</w:t>
      </w:r>
      <w:r w:rsidRPr="00995CA0">
        <w:rPr>
          <w:sz w:val="24"/>
          <w:szCs w:val="24"/>
        </w:rPr>
        <w:t>.0</w:t>
      </w:r>
      <w:r w:rsidR="00C37962" w:rsidRPr="00995CA0">
        <w:rPr>
          <w:sz w:val="24"/>
          <w:szCs w:val="24"/>
        </w:rPr>
        <w:t>9</w:t>
      </w:r>
      <w:r w:rsidRPr="00995CA0">
        <w:rPr>
          <w:sz w:val="24"/>
          <w:szCs w:val="24"/>
        </w:rPr>
        <w:t xml:space="preserve">.2022 г. (указано в форме конкурсного предложения по предмету закупки) по следующему адресу: </w:t>
      </w:r>
    </w:p>
    <w:p w:rsidR="00A612D1" w:rsidRPr="00995CA0" w:rsidRDefault="00A612D1" w:rsidP="005E592D">
      <w:pPr>
        <w:suppressAutoHyphens/>
        <w:autoSpaceDE w:val="0"/>
        <w:autoSpaceDN w:val="0"/>
        <w:adjustRightInd w:val="0"/>
        <w:ind w:firstLine="284"/>
        <w:jc w:val="both"/>
        <w:rPr>
          <w:sz w:val="24"/>
          <w:szCs w:val="24"/>
        </w:rPr>
      </w:pPr>
      <w:r w:rsidRPr="00995CA0">
        <w:rPr>
          <w:sz w:val="24"/>
          <w:szCs w:val="24"/>
        </w:rPr>
        <w:t xml:space="preserve">Открытое акционерное общество </w:t>
      </w:r>
    </w:p>
    <w:p w:rsidR="00A612D1" w:rsidRPr="00995CA0" w:rsidRDefault="00A612D1" w:rsidP="005E592D">
      <w:pPr>
        <w:suppressAutoHyphens/>
        <w:autoSpaceDE w:val="0"/>
        <w:autoSpaceDN w:val="0"/>
        <w:adjustRightInd w:val="0"/>
        <w:ind w:firstLine="284"/>
        <w:jc w:val="both"/>
        <w:rPr>
          <w:sz w:val="24"/>
          <w:szCs w:val="24"/>
        </w:rPr>
      </w:pPr>
      <w:r w:rsidRPr="00995CA0">
        <w:rPr>
          <w:sz w:val="24"/>
          <w:szCs w:val="24"/>
        </w:rPr>
        <w:t>«Борисовский завод медицинских препаратов»</w:t>
      </w:r>
    </w:p>
    <w:p w:rsidR="00A612D1" w:rsidRPr="00995CA0" w:rsidRDefault="00A612D1" w:rsidP="005E592D">
      <w:pPr>
        <w:suppressAutoHyphens/>
        <w:autoSpaceDE w:val="0"/>
        <w:autoSpaceDN w:val="0"/>
        <w:adjustRightInd w:val="0"/>
        <w:ind w:firstLine="284"/>
        <w:jc w:val="both"/>
        <w:rPr>
          <w:sz w:val="24"/>
          <w:szCs w:val="24"/>
        </w:rPr>
      </w:pPr>
      <w:r w:rsidRPr="00995CA0">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995CA0">
        <w:rPr>
          <w:sz w:val="24"/>
          <w:szCs w:val="24"/>
        </w:rPr>
        <w:t>222518, г. Борисов, Минская область, Республика Беларусь.</w:t>
      </w:r>
      <w:bookmarkStart w:id="0" w:name="_GoBack"/>
      <w:bookmarkEnd w:id="0"/>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lastRenderedPageBreak/>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lastRenderedPageBreak/>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w:t>
      </w:r>
      <w:r w:rsidRPr="005E592D">
        <w:rPr>
          <w:sz w:val="24"/>
          <w:szCs w:val="24"/>
        </w:rPr>
        <w:lastRenderedPageBreak/>
        <w:t>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 xml:space="preserve">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w:t>
      </w:r>
      <w:r w:rsidRPr="005E592D">
        <w:rPr>
          <w:sz w:val="24"/>
          <w:szCs w:val="24"/>
        </w:rPr>
        <w:lastRenderedPageBreak/>
        <w:t>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отдела закупок                                                                                 В.В.</w:t>
      </w:r>
      <w:r>
        <w:rPr>
          <w:sz w:val="24"/>
          <w:szCs w:val="24"/>
        </w:rPr>
        <w:t xml:space="preserve"> </w:t>
      </w:r>
      <w:proofErr w:type="spellStart"/>
      <w:r w:rsidRPr="005E592D">
        <w:rPr>
          <w:sz w:val="24"/>
          <w:szCs w:val="24"/>
        </w:rPr>
        <w:t>Латогурский</w:t>
      </w:r>
      <w:proofErr w:type="spellEnd"/>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proofErr w:type="spellStart"/>
      <w:r w:rsidRPr="005E592D">
        <w:rPr>
          <w:sz w:val="24"/>
          <w:szCs w:val="24"/>
        </w:rPr>
        <w:t>Новак</w:t>
      </w:r>
      <w:proofErr w:type="spellEnd"/>
    </w:p>
    <w:p w:rsidR="00A612D1" w:rsidRPr="005E592D" w:rsidRDefault="00A612D1" w:rsidP="00D576E3">
      <w:pPr>
        <w:rPr>
          <w:sz w:val="24"/>
          <w:szCs w:val="24"/>
        </w:rPr>
      </w:pPr>
    </w:p>
    <w:p w:rsidR="00A612D1" w:rsidRPr="004841DD" w:rsidRDefault="00C37962" w:rsidP="00AC2B0A">
      <w:pPr>
        <w:pStyle w:val="a3"/>
        <w:jc w:val="left"/>
        <w:rPr>
          <w:sz w:val="24"/>
          <w:szCs w:val="24"/>
        </w:rPr>
      </w:pPr>
      <w:r w:rsidRPr="00C37962">
        <w:rPr>
          <w:sz w:val="24"/>
          <w:szCs w:val="24"/>
        </w:rPr>
        <w:t xml:space="preserve">Менеджер </w:t>
      </w:r>
      <w:r w:rsidR="004841DD" w:rsidRPr="00C37962">
        <w:rPr>
          <w:sz w:val="24"/>
          <w:szCs w:val="24"/>
        </w:rPr>
        <w:t>по закупкам</w:t>
      </w:r>
      <w:r>
        <w:rPr>
          <w:sz w:val="24"/>
          <w:szCs w:val="24"/>
        </w:rPr>
        <w:t xml:space="preserve">                                                                                       М.А. </w:t>
      </w:r>
      <w:proofErr w:type="spellStart"/>
      <w:r>
        <w:rPr>
          <w:sz w:val="24"/>
          <w:szCs w:val="24"/>
        </w:rPr>
        <w:t>Губаревич</w:t>
      </w:r>
      <w:proofErr w:type="spellEnd"/>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8AE" w:rsidRDefault="00EA18AE">
      <w:r>
        <w:separator/>
      </w:r>
    </w:p>
  </w:endnote>
  <w:endnote w:type="continuationSeparator" w:id="0">
    <w:p w:rsidR="00EA18AE" w:rsidRDefault="00EA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8AE" w:rsidRDefault="00EA18AE">
      <w:r>
        <w:separator/>
      </w:r>
    </w:p>
  </w:footnote>
  <w:footnote w:type="continuationSeparator" w:id="0">
    <w:p w:rsidR="00EA18AE" w:rsidRDefault="00EA18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CA0" w:rsidRDefault="00995CA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95CA0" w:rsidRDefault="00995CA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CA0" w:rsidRDefault="00995CA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D69C3">
      <w:rPr>
        <w:rStyle w:val="ab"/>
        <w:noProof/>
      </w:rPr>
      <w:t>21</w:t>
    </w:r>
    <w:r>
      <w:rPr>
        <w:rStyle w:val="ab"/>
      </w:rPr>
      <w:fldChar w:fldCharType="end"/>
    </w:r>
  </w:p>
  <w:p w:rsidR="00995CA0" w:rsidRDefault="00995CA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0CF"/>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CA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962"/>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9C3"/>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8AE"/>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2A39-A539-4B1E-9BEB-24328402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24</Pages>
  <Words>11526</Words>
  <Characters>65703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Губаревич Мария Андреевна</cp:lastModifiedBy>
  <cp:revision>30</cp:revision>
  <cp:lastPrinted>2022-09-21T07:14:00Z</cp:lastPrinted>
  <dcterms:created xsi:type="dcterms:W3CDTF">2021-08-04T06:21:00Z</dcterms:created>
  <dcterms:modified xsi:type="dcterms:W3CDTF">2022-09-21T07:33:00Z</dcterms:modified>
</cp:coreProperties>
</file>