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Default="00CA519A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</w:t>
      </w:r>
      <w:r w:rsidR="008D5039">
        <w:rPr>
          <w:rFonts w:ascii="Times New Roman" w:hAnsi="Times New Roman" w:cs="Times New Roman"/>
          <w:sz w:val="30"/>
          <w:szCs w:val="30"/>
        </w:rPr>
        <w:t xml:space="preserve"> </w:t>
      </w:r>
      <w:r w:rsidRPr="00C53E72">
        <w:rPr>
          <w:rFonts w:ascii="Times New Roman" w:hAnsi="Times New Roman" w:cs="Times New Roman"/>
          <w:sz w:val="30"/>
          <w:szCs w:val="30"/>
        </w:rPr>
        <w:t xml:space="preserve"> </w:t>
      </w:r>
      <w:r w:rsidR="008D5039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  <w:proofErr w:type="gramStart"/>
      <w:r w:rsidR="008D5039">
        <w:rPr>
          <w:rFonts w:ascii="Times New Roman" w:hAnsi="Times New Roman" w:cs="Times New Roman"/>
          <w:sz w:val="30"/>
          <w:szCs w:val="30"/>
        </w:rPr>
        <w:t>генерального</w:t>
      </w:r>
      <w:proofErr w:type="gramEnd"/>
    </w:p>
    <w:p w:rsidR="00C53E72" w:rsidRPr="00C53E72" w:rsidRDefault="008D5039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директора - г</w:t>
      </w:r>
      <w:r w:rsidR="00CA519A" w:rsidRPr="00C53E72">
        <w:rPr>
          <w:rFonts w:ascii="Times New Roman" w:hAnsi="Times New Roman" w:cs="Times New Roman"/>
          <w:sz w:val="30"/>
          <w:szCs w:val="30"/>
        </w:rPr>
        <w:t>лавн</w:t>
      </w:r>
      <w:r w:rsidR="00A37B89">
        <w:rPr>
          <w:rFonts w:ascii="Times New Roman" w:hAnsi="Times New Roman" w:cs="Times New Roman"/>
          <w:sz w:val="30"/>
          <w:szCs w:val="30"/>
        </w:rPr>
        <w:t>ый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 инженер  </w:t>
      </w:r>
    </w:p>
    <w:p w:rsidR="00CA519A" w:rsidRPr="00C53E72" w:rsidRDefault="00C53E72" w:rsidP="00CA519A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>ОАО «БЗМП»</w:t>
      </w:r>
    </w:p>
    <w:p w:rsidR="00CA519A" w:rsidRPr="00C53E72" w:rsidRDefault="00C53E72" w:rsidP="00CA519A">
      <w:pPr>
        <w:pStyle w:val="ConsPlusNonformat"/>
        <w:ind w:left="4536"/>
        <w:jc w:val="right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</w:t>
      </w:r>
      <w:r w:rsidR="00CA519A" w:rsidRPr="00C53E72">
        <w:rPr>
          <w:rFonts w:ascii="Times New Roman" w:hAnsi="Times New Roman" w:cs="Times New Roman"/>
          <w:sz w:val="30"/>
          <w:szCs w:val="30"/>
        </w:rPr>
        <w:t xml:space="preserve">______________ </w:t>
      </w:r>
      <w:r w:rsidRPr="00C53E72">
        <w:rPr>
          <w:rFonts w:ascii="Times New Roman" w:hAnsi="Times New Roman" w:cs="Times New Roman"/>
          <w:sz w:val="30"/>
          <w:szCs w:val="30"/>
        </w:rPr>
        <w:t>Д.В. Демяшкевич</w:t>
      </w:r>
    </w:p>
    <w:p w:rsidR="00CA519A" w:rsidRPr="00C53E72" w:rsidRDefault="00C53E72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  <w:r w:rsidRPr="00C53E72">
        <w:rPr>
          <w:rFonts w:ascii="Times New Roman" w:hAnsi="Times New Roman" w:cs="Times New Roman"/>
          <w:sz w:val="30"/>
          <w:szCs w:val="30"/>
        </w:rPr>
        <w:t xml:space="preserve">     ____ ____________ 20</w:t>
      </w:r>
      <w:r w:rsidR="008C0935">
        <w:rPr>
          <w:rFonts w:ascii="Times New Roman" w:hAnsi="Times New Roman" w:cs="Times New Roman"/>
          <w:sz w:val="30"/>
          <w:szCs w:val="30"/>
        </w:rPr>
        <w:t>2</w:t>
      </w:r>
      <w:r w:rsidR="00322F8C">
        <w:rPr>
          <w:rFonts w:ascii="Times New Roman" w:hAnsi="Times New Roman" w:cs="Times New Roman"/>
          <w:sz w:val="30"/>
          <w:szCs w:val="30"/>
        </w:rPr>
        <w:t>3</w:t>
      </w:r>
      <w:r w:rsidR="00CA519A" w:rsidRPr="00C53E72">
        <w:rPr>
          <w:rFonts w:ascii="Times New Roman" w:hAnsi="Times New Roman" w:cs="Times New Roman"/>
          <w:sz w:val="30"/>
          <w:szCs w:val="30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322F8C" w:rsidRDefault="00A03BFC" w:rsidP="00322F8C">
      <w:pPr>
        <w:tabs>
          <w:tab w:val="left" w:pos="578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9915D9">
        <w:rPr>
          <w:rFonts w:ascii="Times New Roman" w:hAnsi="Times New Roman"/>
          <w:b/>
          <w:sz w:val="28"/>
          <w:szCs w:val="28"/>
        </w:rPr>
        <w:t>двухкрасочной офсетной печатной машины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146D18" w:rsidRDefault="00146D18" w:rsidP="008C53F2">
      <w:pPr>
        <w:pStyle w:val="ConsPlusNormal"/>
        <w:jc w:val="both"/>
      </w:pPr>
    </w:p>
    <w:p w:rsidR="00322F8C" w:rsidRDefault="00322F8C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322F8C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98546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D5064E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7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800271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D5064E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800271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6C4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6C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="00322F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9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146D18" w:rsidRPr="00146D18" w:rsidRDefault="00146D18" w:rsidP="00146D18">
            <w:pPr>
              <w:tabs>
                <w:tab w:val="left" w:pos="851"/>
              </w:tabs>
              <w:spacing w:after="0" w:line="240" w:lineRule="exact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Товар:  двухкрасочная офсетная печатная машина – 1шт;  комплект сменных поддонов стола самонаклада (на колесиках) (дополнительная комплектация)  – 2шт;  комплект сменных поддонов приемно-выводного устройства (на колесиках) (дополнительная комплектация) – 2шт; - устройство для пробивки штифтовых отверстий  (дополнительная комплектация) -1шт;</w:t>
            </w:r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6C4A07" w:rsidRP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электронные компоненты (PLC, HMI) (дополнительная комплектация)</w:t>
            </w:r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комплект эксплуатационной и технической документации.</w:t>
            </w:r>
          </w:p>
          <w:p w:rsidR="004960F0" w:rsidRPr="002A10FC" w:rsidRDefault="00146D18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Работы (услуги): монтаж, пусконаладочные работы и обучение обслуживающего персонала</w:t>
            </w:r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,</w:t>
            </w:r>
            <w:r w:rsidR="006C4A07">
              <w:t xml:space="preserve"> </w:t>
            </w:r>
            <w:r w:rsidR="006C4A07" w:rsidRP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FAT испытания</w:t>
            </w:r>
            <w:proofErr w:type="gramStart"/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D5039" w:rsidRPr="00322F8C" w:rsidRDefault="009915D9" w:rsidP="00322F8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  <w:p w:rsidR="009915D9" w:rsidRPr="00322F8C" w:rsidRDefault="009915D9" w:rsidP="00322F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22F8C">
              <w:rPr>
                <w:rFonts w:ascii="Times New Roman" w:hAnsi="Times New Roman"/>
                <w:sz w:val="24"/>
                <w:szCs w:val="24"/>
              </w:rPr>
              <w:t>Компле</w:t>
            </w:r>
            <w:proofErr w:type="gramStart"/>
            <w:r w:rsidRPr="00322F8C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322F8C"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146D18" w:rsidRPr="00146D18" w:rsidRDefault="00146D18" w:rsidP="00146D18">
            <w:pPr>
              <w:tabs>
                <w:tab w:val="left" w:pos="851"/>
              </w:tabs>
              <w:spacing w:after="0" w:line="240" w:lineRule="exact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Товар:  двухкрасочная офсетная печатная машина – 1шт;  комплект сменных поддонов стола самонаклада (на колесиках) (дополнительная комплектация)  – 2шт;  комплект сменных поддонов приемно-выводного устройства (на колесиках) (дополнительная комплектация) – 2шт; - устройство для пробивки штифтовых отверстий  (дополнительная комплектация) -1шт;</w:t>
            </w:r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 w:rsidR="006C4A07" w:rsidRP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электронные компоненты (PLC, HMI) (дополнительная комплектация)</w:t>
            </w:r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 комплект эксплуатационной и технической документации.</w:t>
            </w:r>
          </w:p>
          <w:p w:rsidR="009915D9" w:rsidRPr="00322F8C" w:rsidRDefault="00146D18" w:rsidP="00146D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Работы (услуги): монтаж, пусконаладочные работы и обучение обслуживающего персонала</w:t>
            </w:r>
            <w:r w:rsid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 w:rsidR="006C4A07" w:rsidRPr="006C4A07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FAT испытания</w:t>
            </w:r>
            <w:r w:rsidRPr="00146D18"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8D3D30" w:rsidRPr="00CA519A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322F8C" w:rsidRDefault="008D3D30" w:rsidP="00322F8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F8C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322F8C" w:rsidRPr="00322F8C" w:rsidRDefault="00322F8C" w:rsidP="00322F8C">
            <w:pPr>
              <w:pStyle w:val="ac"/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</w:t>
            </w:r>
            <w:r w:rsidRPr="00322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Конструктивные, технические и технологические требования к оборудованию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 Конструктивные, технические и технологические требования к оборудованию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1.1. Оборудование должно поставляться в комплекте со всеми составляющими, обеспечивающими его качественную и безопасную работу, без дополнительных устройств и приспособлений. Оборудование должно быть новым, изготовленным одним </w:t>
            </w:r>
            <w:r w:rsidRPr="00146D18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производителем. Отсутствие повреждения (вмятин, царапин и пр.) поверхностей и установленных комплектующих.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1.2. Тип –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двухкрасочная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(1+1, 2+0).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1.3. Формат бумаги: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мах,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- от 660x480 до 770х600.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>, мм - не более 297x210.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1.4. Толщина бумаги от 0,04 до 0,4 мм. Плотность стандартных запечатываемых материалов - 40-350 г/м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1.5. Производительность, оттисков/час - не менее 12000.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1.6. Подача бумаги - по широкой стороне.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1.7. Высота стапеля самонаклада не менее 800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1.8. Высота стапеля приемки не менее 400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1.9. Толщина офсетного полотна - 1,9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1.10. Толщина офсетной формы – 0,3 мм.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1.11. Рабочая поверхность печатного цилиндра со специальным антикоррозийным покрытием.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1.12. Бесступенчатое регулирование скорости.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1.13. Тип самонаклада – каскадный.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1.14. Счетчик предварительной 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установки/отмены величины тиража продукции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1.15. Функция отключения подачи краски и выключения натиска при отсутствии бумаги.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1.16. Устройство переворота листа – обязательно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1.17. Автоматическое или полуавтоматическое переключение на режим двухсторонней печати.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1.1</w:t>
            </w:r>
            <w:r w:rsidR="007E01B2">
              <w:rPr>
                <w:rFonts w:ascii="Times New Roman" w:hAnsi="Times New Roman"/>
                <w:sz w:val="24"/>
                <w:szCs w:val="24"/>
              </w:rPr>
              <w:t>8</w:t>
            </w:r>
            <w:r w:rsidRPr="00146D18">
              <w:rPr>
                <w:rFonts w:ascii="Times New Roman" w:hAnsi="Times New Roman"/>
                <w:sz w:val="24"/>
                <w:szCs w:val="24"/>
              </w:rPr>
              <w:t>. Система смены печатных форм автоматическая или полуавтоматическая.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Устройство циркуляции увлажняющего раствора с охлаждением.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Устройство снятия статического электричества.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1.2</w:t>
            </w:r>
            <w:r w:rsidR="007E01B2">
              <w:rPr>
                <w:rFonts w:ascii="Times New Roman" w:hAnsi="Times New Roman"/>
                <w:sz w:val="24"/>
                <w:szCs w:val="24"/>
              </w:rPr>
              <w:t>1</w:t>
            </w:r>
            <w:r w:rsidRPr="00146D18">
              <w:rPr>
                <w:rFonts w:ascii="Times New Roman" w:hAnsi="Times New Roman"/>
                <w:sz w:val="24"/>
                <w:szCs w:val="24"/>
              </w:rPr>
              <w:t>. Датчик контроля предельной высоты стопы в приемно-выводном устройстве.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1.22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Устройство контроля двойного листа.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1.23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Дисплей визуализации ошибок и неисправностей.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1.24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 xml:space="preserve">. Наличие </w:t>
            </w:r>
            <w:proofErr w:type="spellStart"/>
            <w:r w:rsidR="00146D18" w:rsidRPr="00146D18">
              <w:rPr>
                <w:rFonts w:ascii="Times New Roman" w:hAnsi="Times New Roman"/>
                <w:sz w:val="24"/>
                <w:szCs w:val="24"/>
              </w:rPr>
              <w:t>маслоулавливающего</w:t>
            </w:r>
            <w:proofErr w:type="spellEnd"/>
            <w:r w:rsidR="00146D18" w:rsidRPr="00146D18">
              <w:rPr>
                <w:rFonts w:ascii="Times New Roman" w:hAnsi="Times New Roman"/>
                <w:sz w:val="24"/>
                <w:szCs w:val="24"/>
              </w:rPr>
              <w:t xml:space="preserve"> поддона. 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1.25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Параметры напряжения электропитания: 380В, 50Гц.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При необходимости пробивки штифтовых отверстий и загиба форм, устройство для пробивки и загиба – обязательно.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Степень защиты электрооборудования – не ниже IP 54.</w:t>
            </w:r>
          </w:p>
          <w:p w:rsidR="00146D18" w:rsidRPr="00146D18" w:rsidRDefault="007E01B2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1.28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. Срок гарантии – не менее 24 месяцев.</w:t>
            </w:r>
          </w:p>
          <w:p w:rsidR="00146D18" w:rsidRPr="00A33B12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B12">
              <w:rPr>
                <w:rFonts w:ascii="Times New Roman" w:hAnsi="Times New Roman"/>
                <w:b/>
                <w:sz w:val="24"/>
                <w:szCs w:val="24"/>
              </w:rPr>
              <w:t>2. Требования к электронным компонентам и средствам измерения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2.1. 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2.2. 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 w:rsidRPr="00146D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46D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D5064E" w:rsidRPr="00D5064E">
              <w:rPr>
                <w:rFonts w:ascii="Times New Roman" w:hAnsi="Times New Roman"/>
                <w:sz w:val="24"/>
                <w:szCs w:val="24"/>
              </w:rPr>
              <w:t xml:space="preserve">Панель оператора сенсорная, интерфейс на русском языке с многоуровневым доступом. Отображение параметров процесса в режиме </w:t>
            </w:r>
            <w:proofErr w:type="spellStart"/>
            <w:r w:rsidR="00D5064E" w:rsidRPr="00D5064E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="00D5064E" w:rsidRPr="00D506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D5064E" w:rsidRPr="00D5064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D5064E" w:rsidRPr="00D5064E">
              <w:rPr>
                <w:rFonts w:ascii="Times New Roman" w:hAnsi="Times New Roman"/>
                <w:sz w:val="24"/>
                <w:szCs w:val="24"/>
              </w:rPr>
              <w:t xml:space="preserve"> работой машины, отображение сообщений о неисправностях</w:t>
            </w:r>
            <w:r w:rsidRPr="00146D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2.4. Пароли доступа должны быть статические, без ограничения срока действия.</w:t>
            </w:r>
          </w:p>
          <w:p w:rsidR="006C4A07" w:rsidRPr="006C4A07" w:rsidRDefault="006C4A07" w:rsidP="006C4A07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A07">
              <w:rPr>
                <w:rFonts w:ascii="Times New Roman" w:hAnsi="Times New Roman"/>
                <w:sz w:val="24"/>
                <w:szCs w:val="24"/>
              </w:rPr>
              <w:t xml:space="preserve">2.5. Для контроллеров  (PLC) и панелей оператора (HMI) представить в комплекте поставки запасные  (PLC, HMI), проверка работоспособности запасных PLC, HMI  </w:t>
            </w:r>
            <w:proofErr w:type="gramStart"/>
            <w:r w:rsidRPr="006C4A07">
              <w:rPr>
                <w:rFonts w:ascii="Times New Roman" w:hAnsi="Times New Roman"/>
                <w:sz w:val="24"/>
                <w:szCs w:val="24"/>
              </w:rPr>
              <w:t>будет</w:t>
            </w:r>
            <w:proofErr w:type="gramEnd"/>
            <w:r w:rsidRPr="006C4A07">
              <w:rPr>
                <w:rFonts w:ascii="Times New Roman" w:hAnsi="Times New Roman"/>
                <w:sz w:val="24"/>
                <w:szCs w:val="24"/>
              </w:rPr>
              <w:t xml:space="preserve"> происходит путем их замены с установленными при пуско-наладке оборудования.</w:t>
            </w:r>
          </w:p>
          <w:p w:rsidR="00D5064E" w:rsidRDefault="006C4A07" w:rsidP="006C4A07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A07">
              <w:rPr>
                <w:rFonts w:ascii="Times New Roman" w:hAnsi="Times New Roman"/>
                <w:sz w:val="24"/>
                <w:szCs w:val="24"/>
              </w:rPr>
              <w:t>2.6. Шкалы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146D18" w:rsidRPr="00A57D4B" w:rsidRDefault="00146D18" w:rsidP="006C4A07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D4B">
              <w:rPr>
                <w:rFonts w:ascii="Times New Roman" w:hAnsi="Times New Roman"/>
                <w:b/>
                <w:sz w:val="24"/>
                <w:szCs w:val="24"/>
              </w:rPr>
              <w:t>3. Требования к оборудованию в части охраны труда, окружающей среды и промышленной безопасности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 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3.1.1. 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3.1.2. Наличие кнопки аварийной остановки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3.1.3. Доступность осмотра, ремонта.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 xml:space="preserve">3.1.4. Уровень шума на рабочих местах при любом режиме работы оборудования не более </w:t>
            </w:r>
            <w:r w:rsidRPr="00146D18">
              <w:rPr>
                <w:rFonts w:ascii="Times New Roman" w:hAnsi="Times New Roman"/>
                <w:sz w:val="24"/>
                <w:szCs w:val="24"/>
              </w:rPr>
              <w:lastRenderedPageBreak/>
              <w:t>80 дБ.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3.1.5.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3.2.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146D18" w:rsidRPr="00A57D4B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7D4B">
              <w:rPr>
                <w:rFonts w:ascii="Times New Roman" w:hAnsi="Times New Roman"/>
                <w:b/>
                <w:sz w:val="24"/>
                <w:szCs w:val="24"/>
              </w:rPr>
              <w:t>4. Требования к поставляемой с оборудованием документации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4.1. Руководство по эксплуатации и обслуживанию на русском языке (на бумажном и электронном носителе).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4.2. Каталог деталей и сборочных единиц на бумажном и электронном носителе (на русском или английском языках).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4.3. Технические паспорта на все элементы системы на русском или английском языке.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4.4. 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Preparation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documents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used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D18">
              <w:rPr>
                <w:rFonts w:ascii="Times New Roman" w:hAnsi="Times New Roman"/>
                <w:sz w:val="24"/>
                <w:szCs w:val="24"/>
              </w:rPr>
              <w:t>electrotechnology</w:t>
            </w:r>
            <w:proofErr w:type="spellEnd"/>
            <w:r w:rsidRPr="00146D1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4.5. Схемы пневматические, гидравлические, схемы P&amp;ID на русском языке.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4.6. 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4.7. Сертификат страны происхождения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4.8. Сертификат качества ISO.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4.9. Перечень сигнализаций аварийных состояний (аварий) с расшифровкой на русском языке и способы их устранения.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 Эксплуатационная документация в части обеспечения безопасности должна содержать (вся перечисленная документация должна быть предоставлена в печатном и электронном виде):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4.10.1.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4.10.2. 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4.10.3. Требования к обслуживающему персоналу по использованию средств индивидуальной защиты.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4.10.4. 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</w:p>
          <w:p w:rsidR="00146D18" w:rsidRPr="00146D18" w:rsidRDefault="00146D18" w:rsidP="00146D18">
            <w:pPr>
              <w:pStyle w:val="ac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4.10.5. 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8D3D30" w:rsidRDefault="00146D18" w:rsidP="00146D18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4.10.6. Регламент технического обслуживания и приемов его безопасного выполнения.</w:t>
            </w:r>
          </w:p>
          <w:p w:rsidR="00007827" w:rsidRPr="00007827" w:rsidRDefault="00007827" w:rsidP="00007827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07827">
              <w:rPr>
                <w:rFonts w:ascii="Times New Roman" w:hAnsi="Times New Roman"/>
                <w:sz w:val="24"/>
                <w:szCs w:val="24"/>
              </w:rPr>
              <w:t>5. Проведение FAT испытаний.</w:t>
            </w:r>
          </w:p>
          <w:p w:rsidR="00007827" w:rsidRPr="00322F8C" w:rsidRDefault="00007827" w:rsidP="00007827">
            <w:pPr>
              <w:tabs>
                <w:tab w:val="left" w:pos="1418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27">
              <w:rPr>
                <w:rFonts w:ascii="Times New Roman" w:hAnsi="Times New Roman"/>
                <w:sz w:val="24"/>
                <w:szCs w:val="24"/>
              </w:rPr>
              <w:t>Проведение приемочных испытаний на предприятии-изготовителе оборудования (FAT) – документированное подтверждение и прохождении приемочных испытаний, которые проводятся непосредственно на предприятии-изготовителе до отправки покупателя, на соответствие требования по качеству и техническим характеристикам, изложенным в задании на закупку. FAT будет проводит</w:t>
            </w:r>
            <w:r w:rsidR="00081530">
              <w:rPr>
                <w:rFonts w:ascii="Times New Roman" w:hAnsi="Times New Roman"/>
                <w:sz w:val="24"/>
                <w:szCs w:val="24"/>
              </w:rPr>
              <w:t>ь</w:t>
            </w:r>
            <w:r w:rsidRPr="00007827">
              <w:rPr>
                <w:rFonts w:ascii="Times New Roman" w:hAnsi="Times New Roman"/>
                <w:sz w:val="24"/>
                <w:szCs w:val="24"/>
              </w:rPr>
              <w:t xml:space="preserve">ся при максимальной производительности оборудования на офсетной бумаге плотностью 55-70 </w:t>
            </w:r>
            <w:proofErr w:type="spellStart"/>
            <w:r w:rsidRPr="00007827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007827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00782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07827">
              <w:rPr>
                <w:rFonts w:ascii="Times New Roman" w:hAnsi="Times New Roman"/>
                <w:sz w:val="24"/>
                <w:szCs w:val="24"/>
              </w:rPr>
              <w:t xml:space="preserve"> (предоставляется продавцом), на максимальном (от 660*480 до 770*600) и минимальном (не более 297*210) формате бумаги.</w:t>
            </w:r>
            <w:bookmarkEnd w:id="0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146D18" w:rsidRPr="00146D18" w:rsidRDefault="00146D18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28.99.13.900</w:t>
            </w:r>
          </w:p>
          <w:p w:rsidR="004960F0" w:rsidRPr="009915D9" w:rsidRDefault="004960F0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9915D9" w:rsidRDefault="00146D18" w:rsidP="00061D8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4"/>
              </w:rPr>
              <w:t>Машины для офсетной печати прочие (кроме машин офисного типа и рулонных)</w:t>
            </w:r>
          </w:p>
        </w:tc>
      </w:tr>
      <w:tr w:rsidR="004960F0" w:rsidRPr="00CA519A" w:rsidTr="00061D83">
        <w:trPr>
          <w:trHeight w:val="455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061D83" w:rsidRPr="001A1123" w:rsidRDefault="00061D83" w:rsidP="00061D83">
            <w:pPr>
              <w:pStyle w:val="Style7"/>
              <w:widowControl/>
              <w:spacing w:line="240" w:lineRule="exact"/>
              <w:ind w:right="-1" w:firstLine="0"/>
              <w:rPr>
                <w:rStyle w:val="FontStyle16"/>
                <w:sz w:val="24"/>
                <w:szCs w:val="24"/>
              </w:rPr>
            </w:pPr>
            <w:r w:rsidRPr="001A1123">
              <w:rPr>
                <w:rStyle w:val="FontStyle16"/>
                <w:sz w:val="24"/>
                <w:szCs w:val="24"/>
                <w:lang w:val="en-US"/>
              </w:rPr>
              <w:t>CIP</w:t>
            </w:r>
            <w:r w:rsidRPr="001A1123">
              <w:rPr>
                <w:rStyle w:val="FontStyle16"/>
                <w:sz w:val="24"/>
                <w:szCs w:val="24"/>
              </w:rPr>
              <w:t>/</w:t>
            </w:r>
            <w:r w:rsidRPr="001A1123">
              <w:rPr>
                <w:rStyle w:val="FontStyle16"/>
                <w:sz w:val="24"/>
                <w:szCs w:val="24"/>
                <w:lang w:val="en-US"/>
              </w:rPr>
              <w:t>DAP</w:t>
            </w:r>
            <w:r w:rsidRPr="001A1123">
              <w:rPr>
                <w:rStyle w:val="FontStyle16"/>
                <w:rFonts w:eastAsia="SimSun"/>
                <w:sz w:val="24"/>
                <w:szCs w:val="24"/>
              </w:rPr>
              <w:t>/</w:t>
            </w:r>
            <w:r w:rsidRPr="001A1123">
              <w:rPr>
                <w:rStyle w:val="FontStyle16"/>
                <w:sz w:val="24"/>
                <w:szCs w:val="24"/>
                <w:lang w:val="en-US"/>
              </w:rPr>
              <w:t>CP</w:t>
            </w:r>
            <w:r w:rsidRPr="001A1123">
              <w:rPr>
                <w:rStyle w:val="FontStyle16"/>
                <w:rFonts w:eastAsia="SimSun"/>
                <w:sz w:val="24"/>
                <w:szCs w:val="24"/>
              </w:rPr>
              <w:t>Т</w:t>
            </w:r>
            <w:r w:rsidRPr="001A1123">
              <w:rPr>
                <w:rStyle w:val="FontStyle16"/>
                <w:sz w:val="24"/>
                <w:szCs w:val="24"/>
              </w:rPr>
              <w:t xml:space="preserve"> г. Борисов, </w:t>
            </w:r>
            <w:proofErr w:type="spellStart"/>
            <w:r w:rsidRPr="001A1123">
              <w:t>Инкотермс</w:t>
            </w:r>
            <w:proofErr w:type="spellEnd"/>
            <w:r w:rsidRPr="001A1123">
              <w:t xml:space="preserve"> 2010 (2020)</w:t>
            </w:r>
            <w:r w:rsidRPr="001A1123">
              <w:rPr>
                <w:rStyle w:val="FontStyle16"/>
                <w:sz w:val="24"/>
                <w:szCs w:val="24"/>
              </w:rPr>
              <w:t xml:space="preserve"> – для нерезидентов РБ;</w:t>
            </w:r>
          </w:p>
          <w:p w:rsidR="00061D83" w:rsidRDefault="00061D83" w:rsidP="00061D8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</w:pPr>
            <w:r w:rsidRPr="001A1123">
              <w:rPr>
                <w:rStyle w:val="FontStyle16"/>
                <w:sz w:val="24"/>
                <w:szCs w:val="24"/>
                <w:lang w:val="en-US"/>
              </w:rPr>
              <w:t>DDP</w:t>
            </w:r>
            <w:r w:rsidRPr="001A1123">
              <w:rPr>
                <w:rStyle w:val="FontStyle16"/>
                <w:sz w:val="24"/>
                <w:szCs w:val="24"/>
              </w:rPr>
              <w:t xml:space="preserve"> г. Борисов – для резидентов РБ</w:t>
            </w:r>
          </w:p>
          <w:p w:rsidR="006B40B2" w:rsidRPr="00146D18" w:rsidRDefault="002A10FC" w:rsidP="00146D1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146D18">
              <w:rPr>
                <w:rFonts w:ascii="Times New Roman" w:hAnsi="Times New Roman"/>
                <w:sz w:val="24"/>
                <w:szCs w:val="24"/>
              </w:rPr>
              <w:t>6ти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  <w:r w:rsidR="006B40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E73AAB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участника  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146D1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D18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>1 000 000,00</w:t>
            </w:r>
            <w:r w:rsidR="00061D83" w:rsidRPr="00061D83">
              <w:rPr>
                <w:rStyle w:val="h-normal"/>
                <w:rFonts w:ascii="Times New Roman" w:eastAsiaTheme="majorEastAsia" w:hAnsi="Times New Roman" w:cs="Times New Roman"/>
                <w:sz w:val="24"/>
                <w:szCs w:val="24"/>
              </w:rPr>
              <w:t xml:space="preserve"> рублей РБ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6B40B2">
        <w:trPr>
          <w:trHeight w:val="1154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Pr="00D910A9" w:rsidRDefault="00DD5067" w:rsidP="00061D83">
            <w:pPr>
              <w:pStyle w:val="ac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 xml:space="preserve">стоимость самого оборудования, дополнительной комплектации, </w:t>
            </w:r>
            <w:r w:rsidR="006C4A07" w:rsidRPr="006C4A07">
              <w:rPr>
                <w:rFonts w:ascii="Times New Roman" w:hAnsi="Times New Roman"/>
                <w:sz w:val="24"/>
                <w:szCs w:val="24"/>
              </w:rPr>
              <w:t>FAT испытаний на предприятии изготовителе оборудования</w:t>
            </w:r>
            <w:r w:rsidR="006C4A07">
              <w:rPr>
                <w:rFonts w:ascii="Times New Roman" w:hAnsi="Times New Roman"/>
                <w:sz w:val="24"/>
                <w:szCs w:val="24"/>
              </w:rPr>
              <w:t>,</w:t>
            </w:r>
            <w:r w:rsidR="006C4A07" w:rsidRPr="006C4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D18" w:rsidRPr="00146D18">
              <w:rPr>
                <w:rFonts w:ascii="Times New Roman" w:hAnsi="Times New Roman"/>
                <w:sz w:val="24"/>
                <w:szCs w:val="24"/>
              </w:rPr>
              <w:t>доставку, упаковку, маркировку, монтаж, пусконаладочные работы, обучение, гарантийное обслуживание в течение не менее 24 месяцев и другие обязательные платежи.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40B2" w:rsidRPr="004960F0" w:rsidRDefault="00146D18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Сроки гарантии: не менее 24 месяца. 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обслуживания.</w:t>
            </w:r>
          </w:p>
        </w:tc>
      </w:tr>
      <w:tr w:rsidR="004960F0" w:rsidRPr="00CA519A" w:rsidTr="00A576DA">
        <w:trPr>
          <w:trHeight w:val="2837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146D18" w:rsidRDefault="005E5E84" w:rsidP="00146D1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46D18">
              <w:rPr>
                <w:rFonts w:ascii="Times New Roman" w:hAnsi="Times New Roman"/>
                <w:sz w:val="24"/>
                <w:szCs w:val="24"/>
              </w:rPr>
              <w:t>, Китайский юань</w:t>
            </w:r>
          </w:p>
          <w:p w:rsidR="005E5E84" w:rsidRPr="00146D18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46D18">
              <w:rPr>
                <w:rFonts w:ascii="Times New Roman" w:hAnsi="Times New Roman"/>
                <w:sz w:val="24"/>
                <w:szCs w:val="24"/>
              </w:rPr>
              <w:t>, Китайский юань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Pr="00035BE6" w:rsidRDefault="004960F0" w:rsidP="00146D18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145B38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E73AAB">
              <w:rPr>
                <w:rFonts w:ascii="Times New Roman" w:hAnsi="Times New Roman"/>
                <w:b/>
                <w:sz w:val="24"/>
                <w:szCs w:val="24"/>
              </w:rPr>
              <w:t>двухкрасочной офсетной печатной машины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6C4A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26.05</w:t>
            </w:r>
            <w:r w:rsidR="00146D1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061D8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2023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6C4A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26.05</w:t>
            </w:r>
            <w:r w:rsidR="00061D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.2023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46D18" w:rsidRPr="00146D18" w:rsidRDefault="00146D18" w:rsidP="00146D18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коммерческое предложение (форма прилагается)</w:t>
            </w:r>
          </w:p>
          <w:p w:rsidR="004960F0" w:rsidRPr="00AC4A7D" w:rsidRDefault="00146D18" w:rsidP="00146D18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D18">
              <w:rPr>
                <w:rFonts w:ascii="Times New Roman" w:hAnsi="Times New Roman"/>
                <w:sz w:val="24"/>
                <w:szCs w:val="24"/>
              </w:rPr>
              <w:t>- спецификация с подробным описанием предлагаемого товара (форма прилагается)</w:t>
            </w:r>
            <w:r w:rsidR="004960F0"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 w:rsidR="004960F0"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="004960F0"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146D18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1. Копия свидетельства о регистрации юридического лица.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2. Заявление участника об отсутствии задолженности по налогам, сборам и пеням.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</w:t>
            </w:r>
            <w:r w:rsidRPr="00146D18">
              <w:rPr>
                <w:color w:val="auto"/>
              </w:rPr>
              <w:lastRenderedPageBreak/>
              <w:t>(банкротом), не внесен в реестр поставщиков (подрядчиков, исполнителей), временно не допускаемых к закупкам.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146D18" w:rsidRPr="00146D18" w:rsidRDefault="00146D18" w:rsidP="00146D18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146D18">
              <w:rPr>
                <w:color w:val="auto"/>
              </w:rPr>
              <w:t>7. Заявление участника о 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4960F0" w:rsidRPr="00EC27E6" w:rsidRDefault="00146D18" w:rsidP="00146D18">
            <w:pPr>
              <w:pStyle w:val="ConsPlusNormal"/>
              <w:widowControl/>
              <w:tabs>
                <w:tab w:val="left" w:pos="1080"/>
              </w:tabs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6D18">
              <w:rPr>
                <w:rFonts w:ascii="Times New Roman" w:hAnsi="Times New Roman" w:cs="Times New Roman"/>
                <w:sz w:val="24"/>
                <w:szCs w:val="24"/>
              </w:rPr>
              <w:t>8.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6C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="007A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7A43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146D18" w:rsidP="00815D91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146D18" w:rsidP="00815D91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146D18" w:rsidP="007A433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146D18" w:rsidRPr="00031CEC" w:rsidTr="00031CEC">
              <w:tc>
                <w:tcPr>
                  <w:tcW w:w="1088" w:type="dxa"/>
                  <w:vAlign w:val="center"/>
                </w:tcPr>
                <w:p w:rsidR="00146D18" w:rsidRPr="00031CEC" w:rsidRDefault="00146D18" w:rsidP="008975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146D18" w:rsidRPr="004960F0" w:rsidRDefault="00146D18" w:rsidP="008975AB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146D18" w:rsidRDefault="00146D18" w:rsidP="00146D1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146D18" w:rsidRPr="00031CEC" w:rsidTr="00031CEC">
              <w:tc>
                <w:tcPr>
                  <w:tcW w:w="1088" w:type="dxa"/>
                </w:tcPr>
                <w:p w:rsidR="00146D18" w:rsidRPr="00031CEC" w:rsidRDefault="00146D18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146D18" w:rsidRPr="00031CEC" w:rsidRDefault="00146D18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146D18" w:rsidRPr="00031CEC" w:rsidRDefault="00146D18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E73AAB" w:rsidRPr="00DA09AF" w:rsidRDefault="00E73AAB" w:rsidP="00E73AAB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E73AAB" w:rsidRDefault="00E73AAB" w:rsidP="00E73AAB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 с общим удельным весом 0,</w:t>
            </w:r>
            <w:r w:rsidR="00146D18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следующим образом: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7A433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146D1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73AAB" w:rsidRPr="004E1FDC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E73AAB" w:rsidRPr="004E1FDC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- %л) / %пр</w:t>
            </w:r>
          </w:p>
          <w:p w:rsidR="00E73AAB" w:rsidRPr="004A7A04" w:rsidRDefault="007A4336" w:rsidP="00E73AAB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E73AAB"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73AAB"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="00E73AAB"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="00E73AAB"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146D18">
              <w:rPr>
                <w:rFonts w:ascii="Times New Roman" w:hAnsi="Times New Roman"/>
                <w:sz w:val="24"/>
                <w:szCs w:val="24"/>
              </w:rPr>
              <w:t>6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A7A04" w:rsidRDefault="00E73AAB" w:rsidP="00E73AA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E73AAB" w:rsidRPr="004A7A04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E73AAB" w:rsidRDefault="00E73AAB" w:rsidP="00E73AAB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146D18" w:rsidRPr="00A60046" w:rsidRDefault="00146D18" w:rsidP="00146D18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sz w:val="24"/>
                <w:szCs w:val="24"/>
                <w:u w:val="single"/>
              </w:rPr>
            </w:pPr>
            <w:r w:rsidRPr="00A60046">
              <w:rPr>
                <w:snapToGrid w:val="0"/>
                <w:u w:val="single"/>
              </w:rPr>
              <w:t>Наилучшие сроки поставки -</w:t>
            </w:r>
            <w:r w:rsidRPr="00A60046">
              <w:t xml:space="preserve"> предпочтение будет отдано наиболее быстрому сроку поставки</w:t>
            </w:r>
          </w:p>
          <w:p w:rsidR="00146D18" w:rsidRPr="00A60046" w:rsidRDefault="00146D18" w:rsidP="00146D1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*(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146D18" w:rsidRPr="00A60046" w:rsidRDefault="00146D18" w:rsidP="00146D1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Ср.м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(0,1)</w:t>
            </w:r>
            <w:r w:rsidRPr="00A60046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6C4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26.05</w:t>
            </w:r>
            <w:r w:rsidR="007A4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.2023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Pr="00DB690E" w:rsidRDefault="007A4336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rPr>
                <w:szCs w:val="28"/>
              </w:rPr>
              <w:t>Не устанавливается (справка)</w:t>
            </w:r>
          </w:p>
        </w:tc>
      </w:tr>
      <w:tr w:rsidR="00133319" w:rsidRPr="00CA519A" w:rsidTr="00A576DA">
        <w:tc>
          <w:tcPr>
            <w:tcW w:w="628" w:type="dxa"/>
            <w:vAlign w:val="center"/>
          </w:tcPr>
          <w:p w:rsidR="00133319" w:rsidRDefault="00133319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14" w:type="dxa"/>
          </w:tcPr>
          <w:p w:rsidR="00133319" w:rsidRPr="00133319" w:rsidRDefault="00133319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95"/>
              <w:jc w:val="both"/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</w:pPr>
            <w:r w:rsidRPr="00133319">
              <w:rPr>
                <w:rFonts w:ascii="Times New Roman" w:hAnsi="Times New Roman"/>
                <w:b/>
                <w:color w:val="242424"/>
                <w:sz w:val="24"/>
                <w:szCs w:val="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6926" w:type="dxa"/>
            <w:gridSpan w:val="4"/>
          </w:tcPr>
          <w:p w:rsidR="00133319" w:rsidRPr="00133319" w:rsidRDefault="00146D18" w:rsidP="0013331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cho" w:hAnsi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133319" w:rsidRPr="00CA519A" w:rsidTr="00A576DA">
        <w:tc>
          <w:tcPr>
            <w:tcW w:w="628" w:type="dxa"/>
            <w:vAlign w:val="center"/>
          </w:tcPr>
          <w:p w:rsidR="00133319" w:rsidRDefault="00133319" w:rsidP="0013331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9640" w:type="dxa"/>
            <w:gridSpan w:val="5"/>
          </w:tcPr>
          <w:p w:rsidR="00133319" w:rsidRPr="00CA519A" w:rsidRDefault="00133319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133319" w:rsidRPr="009208C2" w:rsidRDefault="00133319" w:rsidP="00133319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утвержденного Решением наблюдательного совета (протокол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наблюдательного совета ОАО «БЗМП» 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 от</w:t>
            </w:r>
            <w:r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13.06.2022, №353 от 23.12.2022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1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8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1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C3493"/>
    <w:multiLevelType w:val="multilevel"/>
    <w:tmpl w:val="A6E42440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7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1"/>
  </w:num>
  <w:num w:numId="4">
    <w:abstractNumId w:val="15"/>
  </w:num>
  <w:num w:numId="5">
    <w:abstractNumId w:val="0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"/>
  </w:num>
  <w:num w:numId="17">
    <w:abstractNumId w:val="4"/>
  </w:num>
  <w:num w:numId="18">
    <w:abstractNumId w:val="21"/>
  </w:num>
  <w:num w:numId="19">
    <w:abstractNumId w:val="18"/>
  </w:num>
  <w:num w:numId="20">
    <w:abstractNumId w:val="17"/>
  </w:num>
  <w:num w:numId="21">
    <w:abstractNumId w:val="22"/>
  </w:num>
  <w:num w:numId="22">
    <w:abstractNumId w:val="12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2"/>
    <w:rsid w:val="00007827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1D83"/>
    <w:rsid w:val="00063A93"/>
    <w:rsid w:val="00064EDB"/>
    <w:rsid w:val="000673E3"/>
    <w:rsid w:val="00081530"/>
    <w:rsid w:val="000853E2"/>
    <w:rsid w:val="000929AC"/>
    <w:rsid w:val="0009462D"/>
    <w:rsid w:val="000975B7"/>
    <w:rsid w:val="000B373B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33319"/>
    <w:rsid w:val="00142675"/>
    <w:rsid w:val="00145B38"/>
    <w:rsid w:val="00146D1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53DC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D1E00"/>
    <w:rsid w:val="002D483F"/>
    <w:rsid w:val="002D6C76"/>
    <w:rsid w:val="002F2E6F"/>
    <w:rsid w:val="002F65B7"/>
    <w:rsid w:val="00320E5D"/>
    <w:rsid w:val="00322F8C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135F"/>
    <w:rsid w:val="004356A8"/>
    <w:rsid w:val="00437288"/>
    <w:rsid w:val="00440D0A"/>
    <w:rsid w:val="00452EF0"/>
    <w:rsid w:val="0045410C"/>
    <w:rsid w:val="00460979"/>
    <w:rsid w:val="00476A0B"/>
    <w:rsid w:val="00477B7B"/>
    <w:rsid w:val="00485ABF"/>
    <w:rsid w:val="004960F0"/>
    <w:rsid w:val="004A05C1"/>
    <w:rsid w:val="004A7A04"/>
    <w:rsid w:val="004D71BD"/>
    <w:rsid w:val="004E1FDC"/>
    <w:rsid w:val="004F166A"/>
    <w:rsid w:val="004F58B5"/>
    <w:rsid w:val="005018DB"/>
    <w:rsid w:val="00502268"/>
    <w:rsid w:val="0051176E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04D1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74ADF"/>
    <w:rsid w:val="0068127B"/>
    <w:rsid w:val="0068255C"/>
    <w:rsid w:val="00694670"/>
    <w:rsid w:val="006A374E"/>
    <w:rsid w:val="006B40B2"/>
    <w:rsid w:val="006C43BA"/>
    <w:rsid w:val="006C4A07"/>
    <w:rsid w:val="006C73DE"/>
    <w:rsid w:val="006E7DAF"/>
    <w:rsid w:val="006F70AF"/>
    <w:rsid w:val="0070322E"/>
    <w:rsid w:val="007158EA"/>
    <w:rsid w:val="007309A4"/>
    <w:rsid w:val="0073625D"/>
    <w:rsid w:val="00740196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4336"/>
    <w:rsid w:val="007A5FD2"/>
    <w:rsid w:val="007B56D4"/>
    <w:rsid w:val="007B6C37"/>
    <w:rsid w:val="007C41AF"/>
    <w:rsid w:val="007D7F7B"/>
    <w:rsid w:val="007E01B2"/>
    <w:rsid w:val="007E07AA"/>
    <w:rsid w:val="007F255F"/>
    <w:rsid w:val="007F73EA"/>
    <w:rsid w:val="00810A7F"/>
    <w:rsid w:val="00815DE2"/>
    <w:rsid w:val="0082781D"/>
    <w:rsid w:val="0083135F"/>
    <w:rsid w:val="00855CCE"/>
    <w:rsid w:val="008811AC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5463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3B12"/>
    <w:rsid w:val="00A34224"/>
    <w:rsid w:val="00A349C1"/>
    <w:rsid w:val="00A349D6"/>
    <w:rsid w:val="00A3677E"/>
    <w:rsid w:val="00A37B89"/>
    <w:rsid w:val="00A41982"/>
    <w:rsid w:val="00A516A1"/>
    <w:rsid w:val="00A576DA"/>
    <w:rsid w:val="00A57D4B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64A6A"/>
    <w:rsid w:val="00B977AF"/>
    <w:rsid w:val="00BA1B5A"/>
    <w:rsid w:val="00BB1FDD"/>
    <w:rsid w:val="00BB36DB"/>
    <w:rsid w:val="00BB7289"/>
    <w:rsid w:val="00BC63D0"/>
    <w:rsid w:val="00BD7045"/>
    <w:rsid w:val="00BE162D"/>
    <w:rsid w:val="00BF4B1B"/>
    <w:rsid w:val="00C0370A"/>
    <w:rsid w:val="00C15122"/>
    <w:rsid w:val="00C22459"/>
    <w:rsid w:val="00C52573"/>
    <w:rsid w:val="00C53E72"/>
    <w:rsid w:val="00C672E9"/>
    <w:rsid w:val="00C72837"/>
    <w:rsid w:val="00C917EC"/>
    <w:rsid w:val="00C9399D"/>
    <w:rsid w:val="00CA519A"/>
    <w:rsid w:val="00CB674A"/>
    <w:rsid w:val="00CC06EC"/>
    <w:rsid w:val="00CC7745"/>
    <w:rsid w:val="00CD2957"/>
    <w:rsid w:val="00CF25D2"/>
    <w:rsid w:val="00CF41EF"/>
    <w:rsid w:val="00D0547E"/>
    <w:rsid w:val="00D1063C"/>
    <w:rsid w:val="00D16841"/>
    <w:rsid w:val="00D243B2"/>
    <w:rsid w:val="00D5064E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50431"/>
    <w:rsid w:val="00E61B11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322F8C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00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8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header"/>
    <w:basedOn w:val="a"/>
    <w:link w:val="ab"/>
    <w:uiPriority w:val="99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322F8C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00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78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med@borim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7EEF2841723C080988627559E4ACBF8D3FBE8258BEBCBE375DCDB0ED3C1358CCDA71FE170A969B3F3DA75D872s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7512A-113B-47E6-8375-3E59EE25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4915</Words>
  <Characters>28017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7</cp:revision>
  <cp:lastPrinted>2023-05-15T11:04:00Z</cp:lastPrinted>
  <dcterms:created xsi:type="dcterms:W3CDTF">2023-04-10T09:09:00Z</dcterms:created>
  <dcterms:modified xsi:type="dcterms:W3CDTF">2023-05-15T11:05:00Z</dcterms:modified>
</cp:coreProperties>
</file>