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322F8C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322F8C" w:rsidRDefault="00A03BFC" w:rsidP="00322F8C">
      <w:pPr>
        <w:tabs>
          <w:tab w:val="left" w:pos="578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9915D9">
        <w:rPr>
          <w:rFonts w:ascii="Times New Roman" w:hAnsi="Times New Roman"/>
          <w:b/>
          <w:sz w:val="28"/>
          <w:szCs w:val="28"/>
        </w:rPr>
        <w:t>двухкрасочной офсетной печатной машины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146D18" w:rsidRDefault="00146D18" w:rsidP="008C53F2">
      <w:pPr>
        <w:pStyle w:val="ConsPlusNormal"/>
        <w:jc w:val="both"/>
      </w:pPr>
    </w:p>
    <w:p w:rsidR="00322F8C" w:rsidRDefault="00322F8C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322F8C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98546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B977AF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8002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B977AF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146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146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  <w:r w:rsidR="00322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146D18" w:rsidRPr="00146D18" w:rsidRDefault="00146D18" w:rsidP="00146D18">
            <w:pPr>
              <w:tabs>
                <w:tab w:val="left" w:pos="851"/>
              </w:tabs>
              <w:spacing w:after="0" w:line="240" w:lineRule="exact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Товар:  двухкрасочная офсетная печатная машина – 1шт;  комплект сменных поддонов стола самонаклада (на колесиках) (дополнительная комплектация)  – 2шт;  комплект сменных поддонов приемно-выводного устройства (на колесиках) (дополнительная комплектация) – 2шт; - устройство для пробивки штифтовых отверстий  (дополнительная комплектация) -1шт; комплект эксплуатационной и технической документации.</w:t>
            </w:r>
          </w:p>
          <w:p w:rsidR="004960F0" w:rsidRPr="002A10FC" w:rsidRDefault="00146D18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Работы (услуги): монтаж, пусконаладочные работы и обучение обслуживающего персонала.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8D5039" w:rsidRPr="00322F8C" w:rsidRDefault="009915D9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9915D9" w:rsidRPr="00322F8C" w:rsidRDefault="009915D9" w:rsidP="0032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 w:rsidRPr="00322F8C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322F8C">
              <w:rPr>
                <w:rFonts w:ascii="Times New Roman" w:hAnsi="Times New Roman"/>
                <w:sz w:val="24"/>
                <w:szCs w:val="24"/>
              </w:rPr>
              <w:t>ючает в себя:</w:t>
            </w:r>
          </w:p>
          <w:p w:rsidR="00146D18" w:rsidRPr="00146D18" w:rsidRDefault="00146D18" w:rsidP="00146D18">
            <w:pPr>
              <w:tabs>
                <w:tab w:val="left" w:pos="851"/>
              </w:tabs>
              <w:spacing w:after="0" w:line="240" w:lineRule="exact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Товар:  двухкрасочная офсетная печатная машина – 1шт;  комплект сменных поддонов стола самонаклада (на колесиках) (дополнительная комплектация)  – 2шт;  комплект сменных поддонов приемно-выводного устройства (на колесиках) (дополнительная комплектация) – 2шт; - устройство для пробивки штифтовых отверстий  (дополнительная комплектация) -1шт; комплект эксплуатационной и технической документации.</w:t>
            </w:r>
          </w:p>
          <w:p w:rsidR="009915D9" w:rsidRPr="00322F8C" w:rsidRDefault="00146D18" w:rsidP="00146D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Работы (услуги): монтаж, пусконаладочные работы и обучение обслуживающего персонала.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322F8C" w:rsidRDefault="008D3D30" w:rsidP="00322F8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322F8C" w:rsidRPr="00322F8C" w:rsidRDefault="00322F8C" w:rsidP="00322F8C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Pr="00322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Конструктивные, технические и технологические требования к оборудованию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 Конструктивные, технические и технологические требования к оборудованию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1.1. 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 Оборудование должно быть новым, изготовленным одним производителем. Отсутствие повреждения (вмятин, царапин и пр.) поверхностей и установленных комплектующих.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Тип –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двухкрасочная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(1+1, 2+0).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1.3. Формат бумаги: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мах,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- от 660x480 до 770х600.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>, мм - не более 297x210.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1.4. Толщина бумаги от 0,04 до 0,4 мм. Плотность стандартных запечатываемых материалов - 40-350 г/м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1.5. Производительность, оттисков/час - не менее 12000.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1.6. Подача бумаги - по широкой стороне.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1.7. Высота стапеля самонаклада не менее 800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1.8. Высота стапеля приемки не менее 400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1.9. Толщина офсетного полотна - 1,9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1.10. Толщина офсетной формы – 0,3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1.11. Рабочая поверхность печатного цилиндра со специальным антикоррозийным покрытием.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1.12. Бесступенчатое регулирование скорости.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1.13. Тип самонаклада – каскадный.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1.14. Счетчик предварительной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установки/отмены величины тиража продукции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1.15. Функция отключения подачи краски и выключения натиска при отсутствии бумаги.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1.16. Устройство переворота листа – обязательно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1.17. Автоматическое или полуавтоматическое переключение на режим двухсторонней печати.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1.18. Устройство автоматической смывки офсетных и печатных цилиндров.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1.19. Система смены печатных форм автоматическая или полуавтоматическая.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1.20. Устройство циркуляции увлажняющего раствора с охлаждением.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1.21. Устройство снятия статического электричества.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1.22. Датчик контроля предельной высоты стопы в приемно-выводном устройстве.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1.23. Устройство контроля двойного листа.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1.24. Дисплей визуализации ошибок и неисправностей.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1.25. Наличие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маслоулавливающего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поддона. 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1.26. Параметры напряжения электропитания: 380В, 50Гц.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1.27. При необходимости пробивки штифтовых отверстий и загиба форм, устройство для пробивки и загиба – обязательно.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1.28. Степень защиты электрооборудования – не ниже IP 54.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1.29. Срок гарантии – не менее 24 месяцев.</w:t>
            </w:r>
          </w:p>
          <w:p w:rsidR="00146D18" w:rsidRPr="00A33B12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B12">
              <w:rPr>
                <w:rFonts w:ascii="Times New Roman" w:hAnsi="Times New Roman"/>
                <w:b/>
                <w:sz w:val="24"/>
                <w:szCs w:val="24"/>
              </w:rPr>
              <w:t>2. Требования к электронным компонентам и средствам измерения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2.1. Оборудование должно иметь защитные блокировки, ограждения, приспособления. Оборудование и узлы должны быть маркированы и идентифицированы в соответствии со схемами.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2.2. Электронные компоненты и комплектующие должны быть в исполнении для европейского рынка, новые, не старше 2015г.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2.3. Панель оператора от 10” – цветная, сенсорная, интерфейс на русском языке с многоуровневым доступом. Отображение параметров процесса в режиме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работой машины, отображение сообщений о неисправностях. 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2.4. Пароли доступа должны быть статические, без ограничения срока действия.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2.5. Для переустановки рабочих программ (образов) PLC, HMI обеспечить наличие в комплекте поставки оборудования: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рабочих программ (проектов в виде файлов с соответствующим расширением применяемому программному обеспечению) на электронном носителе;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программного обеспечения для записи рабочих программ в PLC, HMI, устанавливаемого на персональные компьютеры с ОС WINDOWS;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соединительных кабелей для подключения персонального компьютера к PLC, HMI с необходимыми драйверами для ОС WINDOWS;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2.6. В случае не выполнения пункта 2.4.5, представить в комплекте поставки запасные PLC, HMI с предустановленными рабочими программами (образами), проверка работоспособности запасных PLC, HMI 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происходит путем их замены с установленными при пуско-наладке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2.7. Наличие системы удаленного доступа для проведения диагностики и обслуживания поставляемого оборудования специалистами сервисного центра производителя. Комплект: устройства, приспособления  для подключения сети интернет и необходимое программное </w:t>
            </w:r>
            <w:r w:rsidRPr="00146D1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обеспечение, входящие в состав оборудования (поставляются с оборудованием).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2.8. Для частотных приводов,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сервоконтроллеров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, сервоприводов, других программируемых устройств (согласно спецификации поставляемого оборудования) обеспечить наличие рабочих программ (проектов в виде файлов с расширением соответствующим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применяемому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ПО для программирования), настроечных таблиц и параметров на электронном носителе. 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2.9. В случае поставки оборудования под управлением промышленных компьютеров обеспечить: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при поставке промышленных компьютеров под управлением ОС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необходимо наличие лицензий (голографических наклеек или иных подтверждающих подлинность идентификаторов согласно требованиям компании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) в количестве, соответствующем количеству единиц оборудования. Версия ОС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должна иметь поддержку компанией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на момент поставки оборудования;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при поставке промышленных компьютеров под управлением ОС без коммерческой схемы лицензирования (ОС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, ОС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Android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и др.) необходимо наличие носителя информации с установочным (инсталляционным) образом ОС;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промышленные компьютеры комплектуется носителем информации с установочным пакетом программного обеспечения для него, либо резервной копией установленного программного обеспечения в комплекте с операционной системой; 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промышленные компьютеры должны быть оснащены интерфейсами USB (версии не ниже 2.0) для обеспечения возможного восстановления работоспособности оборудования;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предоставить образ жесткого диска (HDD, SSD) промышленного компьютера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ПО для его восстановления.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2.10. Шкалы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146D18" w:rsidRPr="00A57D4B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D4B">
              <w:rPr>
                <w:rFonts w:ascii="Times New Roman" w:hAnsi="Times New Roman"/>
                <w:b/>
                <w:sz w:val="24"/>
                <w:szCs w:val="24"/>
              </w:rPr>
              <w:t>3. Требования к оборудованию в части охраны труда, окружающей среды и промышленной безопасности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 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3.1.1. 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3.1.2. Наличие кнопки аварийной остановки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3.1.3. Доступность осмотра, ремонта.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3.1.4. Уровень шума на рабочих местах при любом режиме работы оборудования не более 80 дБ.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3.1.5. 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3.2. 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146D18" w:rsidRPr="00A57D4B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A57D4B">
              <w:rPr>
                <w:rFonts w:ascii="Times New Roman" w:hAnsi="Times New Roman"/>
                <w:b/>
                <w:sz w:val="24"/>
                <w:szCs w:val="24"/>
              </w:rPr>
              <w:t>4. Требования к поставляемой с оборудованием документации</w:t>
            </w:r>
          </w:p>
          <w:bookmarkEnd w:id="0"/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4.1. Руководство по эксплуатации и обслуживанию на русском языке (на бумажном и электронном носителе).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4.2. Каталог деталей и сборочных единиц на бумажном и электронном носителе (на русском или английском языках).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4.3. Технические паспорта на все элементы системы на русском или английском языке.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4.4. Электрические схемы, соответствующие компоновке поставляемого оборудования, оформленные согласно международному стандарту IEC 61082-1:2006 (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Preparation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documents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electrotechnology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4.5. Схемы пневматические, гидравлические, схемы P&amp;ID на русском языке.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4.6. 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4.7. Сертификат страны происхождения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4.8. Сертификат качества ISO.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4.9. Перечень сигнализаций аварийных состояний (аварий) с расшифровкой на русском </w:t>
            </w:r>
            <w:r w:rsidRPr="00146D18">
              <w:rPr>
                <w:rFonts w:ascii="Times New Roman" w:hAnsi="Times New Roman"/>
                <w:sz w:val="24"/>
                <w:szCs w:val="24"/>
              </w:rPr>
              <w:lastRenderedPageBreak/>
              <w:t>языке и способы их устранения.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 Эксплуатационная документация в части обеспечения безопасности должна содержать (вся перечисленная документация должна быть предоставлена в печатном и электронном виде):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4.10.1.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4.10.2. 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4.10.3. Требования к обслуживающему персоналу по использованию средств индивидуальной защиты.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4.10.4. 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4.10.5. Правила управления оборудованием на всех предусмотренных режимах его работы и действия работающего в случаях возникновения опасных ситуаций.</w:t>
            </w:r>
          </w:p>
          <w:p w:rsidR="008D3D30" w:rsidRPr="00322F8C" w:rsidRDefault="00146D18" w:rsidP="00146D18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4.10.6. Регламент технического обслуживания и приемов его безопасного выполнения.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146D18" w:rsidRPr="00146D18" w:rsidRDefault="00146D18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28.99.13.900</w:t>
            </w:r>
          </w:p>
          <w:p w:rsidR="004960F0" w:rsidRPr="009915D9" w:rsidRDefault="004960F0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9915D9" w:rsidRDefault="00146D18" w:rsidP="00061D8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6D18">
              <w:rPr>
                <w:rFonts w:ascii="Times New Roman" w:hAnsi="Times New Roman" w:cs="Times New Roman"/>
                <w:sz w:val="24"/>
                <w:szCs w:val="24"/>
              </w:rPr>
              <w:t>Машины для офсетной печати прочие (кроме машин офисного типа и рулонных)</w:t>
            </w:r>
          </w:p>
        </w:tc>
      </w:tr>
      <w:tr w:rsidR="004960F0" w:rsidRPr="00CA519A" w:rsidTr="00061D83">
        <w:trPr>
          <w:trHeight w:val="455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061D83" w:rsidRPr="001A1123" w:rsidRDefault="00061D83" w:rsidP="00061D83">
            <w:pPr>
              <w:pStyle w:val="Style7"/>
              <w:widowControl/>
              <w:spacing w:line="240" w:lineRule="exact"/>
              <w:ind w:right="-1" w:firstLine="0"/>
              <w:rPr>
                <w:rStyle w:val="FontStyle16"/>
                <w:sz w:val="24"/>
                <w:szCs w:val="24"/>
              </w:rPr>
            </w:pPr>
            <w:r w:rsidRPr="001A1123">
              <w:rPr>
                <w:rStyle w:val="FontStyle16"/>
                <w:sz w:val="24"/>
                <w:szCs w:val="24"/>
                <w:lang w:val="en-US"/>
              </w:rPr>
              <w:t>CIP</w:t>
            </w:r>
            <w:r w:rsidRPr="001A1123">
              <w:rPr>
                <w:rStyle w:val="FontStyle16"/>
                <w:sz w:val="24"/>
                <w:szCs w:val="24"/>
              </w:rPr>
              <w:t>/</w:t>
            </w:r>
            <w:r w:rsidRPr="001A1123">
              <w:rPr>
                <w:rStyle w:val="FontStyle16"/>
                <w:sz w:val="24"/>
                <w:szCs w:val="24"/>
                <w:lang w:val="en-US"/>
              </w:rPr>
              <w:t>DAP</w:t>
            </w:r>
            <w:r w:rsidRPr="001A1123">
              <w:rPr>
                <w:rStyle w:val="FontStyle16"/>
                <w:rFonts w:eastAsia="SimSun"/>
                <w:sz w:val="24"/>
                <w:szCs w:val="24"/>
              </w:rPr>
              <w:t>/</w:t>
            </w:r>
            <w:r w:rsidRPr="001A1123">
              <w:rPr>
                <w:rStyle w:val="FontStyle16"/>
                <w:sz w:val="24"/>
                <w:szCs w:val="24"/>
                <w:lang w:val="en-US"/>
              </w:rPr>
              <w:t>CP</w:t>
            </w:r>
            <w:r w:rsidRPr="001A1123">
              <w:rPr>
                <w:rStyle w:val="FontStyle16"/>
                <w:rFonts w:eastAsia="SimSun"/>
                <w:sz w:val="24"/>
                <w:szCs w:val="24"/>
              </w:rPr>
              <w:t>Т</w:t>
            </w:r>
            <w:r w:rsidRPr="001A1123">
              <w:rPr>
                <w:rStyle w:val="FontStyle16"/>
                <w:sz w:val="24"/>
                <w:szCs w:val="24"/>
              </w:rPr>
              <w:t xml:space="preserve"> г. Борисов, </w:t>
            </w:r>
            <w:proofErr w:type="spellStart"/>
            <w:r w:rsidRPr="001A1123">
              <w:t>Инкотермс</w:t>
            </w:r>
            <w:proofErr w:type="spellEnd"/>
            <w:r w:rsidRPr="001A1123">
              <w:t xml:space="preserve"> 2010 (2020)</w:t>
            </w:r>
            <w:r w:rsidRPr="001A1123">
              <w:rPr>
                <w:rStyle w:val="FontStyle16"/>
                <w:sz w:val="24"/>
                <w:szCs w:val="24"/>
              </w:rPr>
              <w:t xml:space="preserve"> – для нерезидентов РБ;</w:t>
            </w:r>
          </w:p>
          <w:p w:rsidR="00061D83" w:rsidRDefault="00061D83" w:rsidP="00061D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</w:pPr>
            <w:r w:rsidRPr="001A1123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1A1123">
              <w:rPr>
                <w:rStyle w:val="FontStyle16"/>
                <w:sz w:val="24"/>
                <w:szCs w:val="24"/>
              </w:rPr>
              <w:t xml:space="preserve"> г. Борисов – для резидентов РБ</w:t>
            </w:r>
          </w:p>
          <w:p w:rsidR="006B40B2" w:rsidRPr="00146D18" w:rsidRDefault="002A10FC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146D18">
              <w:rPr>
                <w:rFonts w:ascii="Times New Roman" w:hAnsi="Times New Roman"/>
                <w:sz w:val="24"/>
                <w:szCs w:val="24"/>
              </w:rPr>
              <w:t>6ти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6B4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E73AAB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участника 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146D1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D18">
              <w:rPr>
                <w:rStyle w:val="h-normal"/>
                <w:rFonts w:ascii="Times New Roman" w:eastAsiaTheme="majorEastAsia" w:hAnsi="Times New Roman" w:cs="Times New Roman"/>
                <w:sz w:val="24"/>
                <w:szCs w:val="24"/>
              </w:rPr>
              <w:t>1 000 000,00</w:t>
            </w:r>
            <w:r w:rsidR="00061D83" w:rsidRPr="00061D83">
              <w:rPr>
                <w:rStyle w:val="h-normal"/>
                <w:rFonts w:ascii="Times New Roman" w:eastAsiaTheme="majorEastAsia" w:hAnsi="Times New Roman" w:cs="Times New Roman"/>
                <w:sz w:val="24"/>
                <w:szCs w:val="24"/>
              </w:rPr>
              <w:t xml:space="preserve"> рублей РБ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6B40B2">
        <w:trPr>
          <w:trHeight w:val="1154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D910A9" w:rsidRDefault="00DD5067" w:rsidP="00061D83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стоимость самого оборудования, дополнительной комплектации, доставку, упаковку, маркировку, монтаж, пусконаладочные работы, обучение, гарантийное обслуживание в течение не менее 24 месяцев и другие обязательные платежи.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0B2" w:rsidRPr="004960F0" w:rsidRDefault="00146D18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Сроки гарантии: не менее 24 месяца. Срок отклика по гарантийному случаю не более 24 часов. Послегарантийное обслуживание не менее 10 лет. Наличие сервисного центра на территории РБ или с учетом территориального обслуживания.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146D18" w:rsidRDefault="005E5E84" w:rsidP="00146D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46D18">
              <w:rPr>
                <w:rFonts w:ascii="Times New Roman" w:hAnsi="Times New Roman"/>
                <w:sz w:val="24"/>
                <w:szCs w:val="24"/>
              </w:rPr>
              <w:t>, Китайский юань</w:t>
            </w:r>
          </w:p>
          <w:p w:rsidR="005E5E84" w:rsidRPr="00146D18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46D18">
              <w:rPr>
                <w:rFonts w:ascii="Times New Roman" w:hAnsi="Times New Roman"/>
                <w:sz w:val="24"/>
                <w:szCs w:val="24"/>
              </w:rPr>
              <w:t>, Китайский юань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146D18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E73AAB">
              <w:rPr>
                <w:rFonts w:ascii="Times New Roman" w:hAnsi="Times New Roman"/>
                <w:b/>
                <w:sz w:val="24"/>
                <w:szCs w:val="24"/>
              </w:rPr>
              <w:t>двухкрасочной офсетной печатной машины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146D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18.04.</w:t>
            </w:r>
            <w:r w:rsidR="00061D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146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18.04</w:t>
            </w:r>
            <w:r w:rsidR="00061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.2023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6D18" w:rsidRPr="00146D18" w:rsidRDefault="00146D18" w:rsidP="00146D18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коммерческое предложение (форма прилагается)</w:t>
            </w:r>
          </w:p>
          <w:p w:rsidR="004960F0" w:rsidRPr="00AC4A7D" w:rsidRDefault="00146D18" w:rsidP="00146D18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спецификация с подробным описанием предлагаемого товара (форма прилагается)</w:t>
            </w:r>
            <w:r w:rsidR="004960F0"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 w:rsidR="004960F0"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="004960F0"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146D18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18">
              <w:rPr>
                <w:rFonts w:ascii="Times New Roman" w:hAnsi="Times New Roman" w:cs="Times New Roman"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1. Копия свидетельства о регистрации юридического лица.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7. Заявление участника о 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4960F0" w:rsidRPr="00EC27E6" w:rsidRDefault="00146D18" w:rsidP="00146D18">
            <w:pPr>
              <w:pStyle w:val="ConsPlusNormal"/>
              <w:widowControl/>
              <w:tabs>
                <w:tab w:val="left" w:pos="1080"/>
              </w:tabs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6D18">
              <w:rPr>
                <w:rFonts w:ascii="Times New Roman" w:hAnsi="Times New Roman" w:cs="Times New Roman"/>
                <w:sz w:val="24"/>
                <w:szCs w:val="24"/>
              </w:rPr>
              <w:t>8.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146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  <w:r w:rsidR="007A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lastRenderedPageBreak/>
              <w:t>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7A4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146D18" w:rsidP="00815D91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146D18" w:rsidP="00815D91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146D18" w:rsidP="007A433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146D18" w:rsidRPr="00031CEC" w:rsidTr="00031CEC">
              <w:tc>
                <w:tcPr>
                  <w:tcW w:w="1088" w:type="dxa"/>
                  <w:vAlign w:val="center"/>
                </w:tcPr>
                <w:p w:rsidR="00146D18" w:rsidRPr="00031CEC" w:rsidRDefault="00146D18" w:rsidP="008975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146D18" w:rsidRPr="004960F0" w:rsidRDefault="00146D18" w:rsidP="008975AB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146D18" w:rsidRDefault="00146D18" w:rsidP="00146D1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146D18" w:rsidRPr="00031CEC" w:rsidTr="00031CEC">
              <w:tc>
                <w:tcPr>
                  <w:tcW w:w="1088" w:type="dxa"/>
                </w:tcPr>
                <w:p w:rsidR="00146D18" w:rsidRPr="00031CEC" w:rsidRDefault="00146D18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146D18" w:rsidRPr="00031CEC" w:rsidRDefault="00146D18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6D18" w:rsidRPr="00031CEC" w:rsidRDefault="00146D18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E73AAB" w:rsidRPr="00DA09AF" w:rsidRDefault="00E73AAB" w:rsidP="00E73AAB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E73AAB" w:rsidRDefault="00E73AAB" w:rsidP="00E73AAB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</w:t>
            </w:r>
            <w:r w:rsidR="00146D1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следующим образом: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7A43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146D1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E73AAB" w:rsidRPr="004E1FDC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- %л) / %пр</w:t>
            </w:r>
          </w:p>
          <w:p w:rsidR="00E73AAB" w:rsidRPr="004A7A04" w:rsidRDefault="007A4336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E73AAB"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73AAB"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E73AAB"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E73AAB"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146D18">
              <w:rPr>
                <w:rFonts w:ascii="Times New Roman" w:hAnsi="Times New Roman"/>
                <w:sz w:val="24"/>
                <w:szCs w:val="24"/>
              </w:rPr>
              <w:t>6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146D18" w:rsidRPr="00A60046" w:rsidRDefault="00146D18" w:rsidP="00146D18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>Наилучшие сроки поставки -</w:t>
            </w:r>
            <w:r w:rsidRPr="00A60046">
              <w:t xml:space="preserve"> предпочтение будет отдано наиболее быстрому сроку поставки</w:t>
            </w:r>
          </w:p>
          <w:p w:rsidR="00146D18" w:rsidRPr="00A60046" w:rsidRDefault="00146D18" w:rsidP="00146D1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Ср.о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146D18" w:rsidRPr="00A60046" w:rsidRDefault="00146D18" w:rsidP="00146D1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Ср.м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(0,1)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146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  <w:r w:rsidR="007A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или  внесение  других  изменений  и 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</w:t>
            </w:r>
            <w:r w:rsidRPr="005973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Pr="00DB690E" w:rsidRDefault="007A4336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szCs w:val="28"/>
              </w:rPr>
              <w:t>Не устанавливается (справка)</w:t>
            </w:r>
          </w:p>
        </w:tc>
      </w:tr>
      <w:tr w:rsidR="00133319" w:rsidRPr="00CA519A" w:rsidTr="00A576DA">
        <w:tc>
          <w:tcPr>
            <w:tcW w:w="628" w:type="dxa"/>
            <w:vAlign w:val="center"/>
          </w:tcPr>
          <w:p w:rsidR="00133319" w:rsidRDefault="00133319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14" w:type="dxa"/>
          </w:tcPr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95"/>
              <w:jc w:val="both"/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</w:pPr>
            <w:r w:rsidRPr="00133319"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6926" w:type="dxa"/>
            <w:gridSpan w:val="4"/>
          </w:tcPr>
          <w:p w:rsidR="00133319" w:rsidRPr="00133319" w:rsidRDefault="00146D18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133319" w:rsidRPr="00CA519A" w:rsidTr="00A576DA">
        <w:tc>
          <w:tcPr>
            <w:tcW w:w="628" w:type="dxa"/>
            <w:vAlign w:val="center"/>
          </w:tcPr>
          <w:p w:rsidR="00133319" w:rsidRDefault="00133319" w:rsidP="001333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640" w:type="dxa"/>
            <w:gridSpan w:val="5"/>
          </w:tcPr>
          <w:p w:rsidR="00133319" w:rsidRPr="00CA519A" w:rsidRDefault="00133319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133319" w:rsidRPr="009208C2" w:rsidRDefault="00133319" w:rsidP="00133319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13.06.2022, №353 от 23.12.2022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C3493"/>
    <w:multiLevelType w:val="multilevel"/>
    <w:tmpl w:val="A6E42440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4"/>
  </w:num>
  <w:num w:numId="18">
    <w:abstractNumId w:val="21"/>
  </w:num>
  <w:num w:numId="19">
    <w:abstractNumId w:val="18"/>
  </w:num>
  <w:num w:numId="20">
    <w:abstractNumId w:val="17"/>
  </w:num>
  <w:num w:numId="21">
    <w:abstractNumId w:val="22"/>
  </w:num>
  <w:num w:numId="22">
    <w:abstractNumId w:val="12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1D83"/>
    <w:rsid w:val="00063A93"/>
    <w:rsid w:val="00064EDB"/>
    <w:rsid w:val="000673E3"/>
    <w:rsid w:val="000853E2"/>
    <w:rsid w:val="000929AC"/>
    <w:rsid w:val="0009462D"/>
    <w:rsid w:val="000975B7"/>
    <w:rsid w:val="000B373B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33319"/>
    <w:rsid w:val="00142675"/>
    <w:rsid w:val="00145B38"/>
    <w:rsid w:val="00146D1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D1E00"/>
    <w:rsid w:val="002D483F"/>
    <w:rsid w:val="002D6C76"/>
    <w:rsid w:val="002F2E6F"/>
    <w:rsid w:val="002F65B7"/>
    <w:rsid w:val="00320E5D"/>
    <w:rsid w:val="00322F8C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04D1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74ADF"/>
    <w:rsid w:val="0068127B"/>
    <w:rsid w:val="0068255C"/>
    <w:rsid w:val="00694670"/>
    <w:rsid w:val="006A374E"/>
    <w:rsid w:val="006B40B2"/>
    <w:rsid w:val="006C43BA"/>
    <w:rsid w:val="006C73DE"/>
    <w:rsid w:val="006E7DAF"/>
    <w:rsid w:val="006F70AF"/>
    <w:rsid w:val="0070322E"/>
    <w:rsid w:val="007158EA"/>
    <w:rsid w:val="007309A4"/>
    <w:rsid w:val="0073625D"/>
    <w:rsid w:val="00740196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4336"/>
    <w:rsid w:val="007A5FD2"/>
    <w:rsid w:val="007B56D4"/>
    <w:rsid w:val="007B6C37"/>
    <w:rsid w:val="007C41AF"/>
    <w:rsid w:val="007D7F7B"/>
    <w:rsid w:val="007E07AA"/>
    <w:rsid w:val="007F255F"/>
    <w:rsid w:val="007F73EA"/>
    <w:rsid w:val="00810A7F"/>
    <w:rsid w:val="00815DE2"/>
    <w:rsid w:val="0082781D"/>
    <w:rsid w:val="0083135F"/>
    <w:rsid w:val="00855CCE"/>
    <w:rsid w:val="008811AC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5463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3B12"/>
    <w:rsid w:val="00A34224"/>
    <w:rsid w:val="00A349C1"/>
    <w:rsid w:val="00A349D6"/>
    <w:rsid w:val="00A3677E"/>
    <w:rsid w:val="00A37B89"/>
    <w:rsid w:val="00A41982"/>
    <w:rsid w:val="00A516A1"/>
    <w:rsid w:val="00A576DA"/>
    <w:rsid w:val="00A57D4B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64A6A"/>
    <w:rsid w:val="00B977AF"/>
    <w:rsid w:val="00BA1B5A"/>
    <w:rsid w:val="00BB1FDD"/>
    <w:rsid w:val="00BB36DB"/>
    <w:rsid w:val="00BB7289"/>
    <w:rsid w:val="00BC63D0"/>
    <w:rsid w:val="00BD7045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50431"/>
    <w:rsid w:val="00E61B11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322F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9D2E-00C9-4FB5-AA7D-EA1AD50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1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119</cp:revision>
  <cp:lastPrinted>2022-07-15T11:49:00Z</cp:lastPrinted>
  <dcterms:created xsi:type="dcterms:W3CDTF">2019-03-27T06:23:00Z</dcterms:created>
  <dcterms:modified xsi:type="dcterms:W3CDTF">2023-04-05T05:57:00Z</dcterms:modified>
</cp:coreProperties>
</file>